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34" w:rsidRDefault="005B1F34" w:rsidP="005B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5B1F34" w:rsidRDefault="005B1F34" w:rsidP="005B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proofErr w:type="spellStart"/>
      <w:r>
        <w:rPr>
          <w:b/>
          <w:bCs/>
          <w:sz w:val="28"/>
          <w:szCs w:val="28"/>
        </w:rPr>
        <w:t>Грачевского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5B1F34" w:rsidRDefault="005B1F34" w:rsidP="005B1F34">
      <w:pPr>
        <w:pStyle w:val="a0"/>
        <w:spacing w:after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о результатах деятельности администрации </w:t>
      </w:r>
      <w:proofErr w:type="spellStart"/>
      <w:r>
        <w:rPr>
          <w:b/>
          <w:bCs/>
          <w:sz w:val="28"/>
          <w:szCs w:val="28"/>
        </w:rPr>
        <w:t>Грачевского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Ставропольского края за 2018 год.</w:t>
      </w:r>
    </w:p>
    <w:p w:rsidR="005B1F34" w:rsidRDefault="005B1F34" w:rsidP="005B1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9606" w:type="dxa"/>
        <w:tblInd w:w="-108" w:type="dxa"/>
        <w:tblLook w:val="0000" w:firstRow="0" w:lastRow="0" w:firstColumn="0" w:lastColumn="0" w:noHBand="0" w:noVBand="0"/>
      </w:tblPr>
      <w:tblGrid>
        <w:gridCol w:w="4219"/>
        <w:gridCol w:w="5387"/>
      </w:tblGrid>
      <w:tr w:rsidR="005B1F34" w:rsidTr="00194D88">
        <w:tc>
          <w:tcPr>
            <w:tcW w:w="4219" w:type="dxa"/>
            <w:shd w:val="clear" w:color="auto" w:fill="auto"/>
          </w:tcPr>
          <w:p w:rsidR="005B1F34" w:rsidRDefault="005B1F34" w:rsidP="00194D88">
            <w:pPr>
              <w:snapToGrid w:val="0"/>
              <w:jc w:val="both"/>
              <w:outlineLvl w:val="1"/>
              <w:rPr>
                <w:bCs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5B1F34" w:rsidRDefault="005B1F34" w:rsidP="00194D88">
            <w:pPr>
              <w:snapToGrid w:val="0"/>
              <w:jc w:val="both"/>
              <w:outlineLvl w:val="1"/>
              <w:rPr>
                <w:bCs/>
                <w:sz w:val="32"/>
                <w:szCs w:val="32"/>
              </w:rPr>
            </w:pPr>
          </w:p>
        </w:tc>
      </w:tr>
    </w:tbl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Сегодня мы подводим итоги работы за 2018 год, результатом которого является наша совместная работа, нацеленная на достижение роста экономики района, улучшения качества жизни наших граждан, а также исполнения задач, определенных резолюцией прошлогодней конференции.</w:t>
      </w:r>
    </w:p>
    <w:p w:rsidR="005B1F34" w:rsidRDefault="005B1F34" w:rsidP="005B1F34">
      <w:pPr>
        <w:pStyle w:val="Standard"/>
        <w:ind w:firstLine="567"/>
        <w:jc w:val="both"/>
      </w:pPr>
      <w:r>
        <w:rPr>
          <w:rFonts w:eastAsia="Times New Roman"/>
          <w:sz w:val="32"/>
          <w:szCs w:val="32"/>
          <w:lang w:val="ru-RU" w:eastAsia="en-US" w:bidi="ar-SA"/>
        </w:rPr>
        <w:t>В отчетном периоде сохранена положительная динамика показателей, характеризующих социально-экономическое положение района.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Размер среднемесячной заработной платы по всем видам экономической деятельности вырос на 10,0 процентов и составил около 30,0 тысяч рублей (22 450 рублей 2017 г.), к сожалению, это всего лишь 73% от средне краевого значения.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b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В отчетном периоде реализовано 13 муниципальных программ, с общим объемом финансирования 739 млн. рублей.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Фактическое выполнение составило 99%.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Важную роль в бюджетной политике играет исполнение его доходной части. Поступление доходов в консолидированный бюджет района составило более 1,0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млрд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рублей (1041,9), это на 136,0 млн. рублей выше уровня 2017 года, план по доходам перевыполнен на 5 процентов. 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План поступления собственных доходов на 9 процентов или на 27 млн. рублей.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ab/>
        <w:t xml:space="preserve">Основными налогоплательщиками района традиционно являются такие организации как Агрокомплекс «Ставропольский», Агрофирма «Золотая Нива», Заря, Красносельское,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Грачевский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элеватор, кондитерская фабрика»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Сладевиль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>».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Кроме того, в отчетном периоде к ним добавились «Моя мечта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Сергиевское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>» и «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Бешпагир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>».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b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Ими было перечислено в бюджеты всех уровней 72 млн. рублей налога на доходы физических лиц, который в структуре доходов занимает 82 процента.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Вместе с тем, имеется ряд предприятий, которые сработали с минусом, но в целом налогоплательщиками района перечислили НДФЛ на 12,0 млн. рублей больше уровня 2017 года.</w:t>
      </w:r>
    </w:p>
    <w:p w:rsidR="005B1F34" w:rsidRDefault="005B1F34" w:rsidP="005B1F34">
      <w:pPr>
        <w:pStyle w:val="Standard"/>
        <w:ind w:firstLine="708"/>
        <w:jc w:val="both"/>
        <w:rPr>
          <w:rFonts w:eastAsia="Times New Roman"/>
          <w:b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lastRenderedPageBreak/>
        <w:t>В части положительной динамики наблюдается выход из кризиса предприятия ООО «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Бешпагир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», которое в отчетном периоде ликвидировало задолженность по налогам и перечислило в бюджетную систему свыше 7,5 млн. рублей. 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Одной из основных составляющих собственных доходов бюджета являются поступления от арендной платы. 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За отчетный период поступило более 25,0 млн. рублей, это выше уровня 2017 года на 47 процентов.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Достижение этих показателей, говорит об использовании всех инструментов администрирования и мобилизации поступлений собственных доходов в бюджет района, и позволило сократить задолженность в размере более 2 млн. рублей.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Расходы консолидированного бюджета произведены в объеме 984,0 млн. рублей или 95 процентов к уточненным годовым плановым назначениям. 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Бюджет района, как и бюджет края, имеет социальную направленность.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Вопросы социального блока в общей структуре расходов бюджета составляют более 75 процентов.</w:t>
      </w:r>
    </w:p>
    <w:p w:rsidR="005B1F34" w:rsidRDefault="005B1F34" w:rsidP="005B1F34">
      <w:pPr>
        <w:pStyle w:val="a5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Сельскохозяйственная отрасль экономики остается ведущей, на долю которой пришлось более 65 процентов отгруженных товаров, работ и услуг. Выполнение мероприятий в области агропромышленного комплекса осуществлялось в рамках реализации Государственной программы. </w:t>
      </w:r>
    </w:p>
    <w:p w:rsidR="005B1F34" w:rsidRDefault="005B1F34" w:rsidP="005B1F34">
      <w:pPr>
        <w:pStyle w:val="a5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осуществляют свою деятельность 13 коллективных хозяйств, 70 КФХ, которые обрабатывают более 100 тыс. га пашни.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Доминирующим направлением остается зерновое производство.</w:t>
      </w:r>
    </w:p>
    <w:p w:rsidR="005B1F34" w:rsidRDefault="005B1F34" w:rsidP="005B1F34">
      <w:pPr>
        <w:pStyle w:val="Standard"/>
        <w:ind w:firstLine="567"/>
        <w:jc w:val="both"/>
      </w:pPr>
      <w:proofErr w:type="spellStart"/>
      <w:r>
        <w:rPr>
          <w:sz w:val="32"/>
          <w:szCs w:val="32"/>
        </w:rPr>
        <w:t>Стоимость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произведённой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сельхозпродукции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хозяйствах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всех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форм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собственности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составила</w:t>
      </w:r>
      <w:proofErr w:type="spellEnd"/>
      <w:r>
        <w:rPr>
          <w:sz w:val="32"/>
          <w:szCs w:val="32"/>
          <w:lang w:val="ru-RU"/>
        </w:rPr>
        <w:t xml:space="preserve"> –</w:t>
      </w:r>
      <w:r>
        <w:rPr>
          <w:sz w:val="32"/>
          <w:szCs w:val="32"/>
        </w:rPr>
        <w:t xml:space="preserve"> 3,6 </w:t>
      </w:r>
      <w:proofErr w:type="spellStart"/>
      <w:r>
        <w:rPr>
          <w:sz w:val="32"/>
          <w:szCs w:val="32"/>
        </w:rPr>
        <w:t>млрд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ру</w:t>
      </w:r>
      <w:r>
        <w:rPr>
          <w:sz w:val="32"/>
          <w:szCs w:val="32"/>
        </w:rPr>
        <w:softHyphen/>
        <w:t>блей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 xml:space="preserve">прирост составил - </w:t>
      </w:r>
      <w:r>
        <w:rPr>
          <w:sz w:val="32"/>
          <w:szCs w:val="32"/>
        </w:rPr>
        <w:t xml:space="preserve">130,0 </w:t>
      </w:r>
      <w:proofErr w:type="spellStart"/>
      <w:r>
        <w:rPr>
          <w:sz w:val="32"/>
          <w:szCs w:val="32"/>
        </w:rPr>
        <w:t>млн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рублей</w:t>
      </w:r>
      <w:proofErr w:type="spellEnd"/>
      <w:r>
        <w:rPr>
          <w:sz w:val="32"/>
          <w:szCs w:val="32"/>
        </w:rPr>
        <w:t xml:space="preserve">. 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Валовое производство зерна составило более 230 тыс. тонн при средней урожайности 32 центнера с гектара, в том числе пшеница 190 тыс. тонн из которых 70 процентов это продовольственное зерно.</w:t>
      </w:r>
    </w:p>
    <w:p w:rsidR="005B1F34" w:rsidRDefault="005B1F34" w:rsidP="005B1F34">
      <w:pPr>
        <w:pStyle w:val="Standard"/>
        <w:ind w:firstLine="567"/>
        <w:jc w:val="both"/>
      </w:pPr>
      <w:r>
        <w:rPr>
          <w:rFonts w:eastAsia="Times New Roman"/>
          <w:sz w:val="32"/>
          <w:szCs w:val="32"/>
          <w:lang w:val="ru-RU" w:eastAsia="en-US" w:bidi="ar-SA"/>
        </w:rPr>
        <w:t>Целевой индикатор выполнен на 104,0%.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Наилучших результатов по урожайности зерна добились ООО «Заря» и КФХ «Лен» (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Плугарев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>).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Необходимо отметить, что в период уборочной страды налажен учет произведенной продукции, так показатель пестроты в </w:t>
      </w:r>
      <w:r>
        <w:rPr>
          <w:rFonts w:eastAsia="Times New Roman"/>
          <w:sz w:val="32"/>
          <w:szCs w:val="32"/>
          <w:lang w:val="ru-RU" w:eastAsia="en-US" w:bidi="ar-SA"/>
        </w:rPr>
        <w:lastRenderedPageBreak/>
        <w:t xml:space="preserve">урожайности между предприятиями и фермерскими хозяйствами не превышает 2 ц/га, при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общекраевом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– 8 ц/га.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Это говорит о достоверности учета произведенной продукции, и гарантии поступления доходов в бюджет.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Сохраняются посевные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площади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занятые под высокорентабельными культурами, такими как подсолнечник, озимый рапс, лен масличный, доля которых в структуре посевных площадей составляет 21%, их выращиванием в районе занимаются 11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сельхозорганизаций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и 19 фермерских хозяйств.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В структуре себестоимости производства сельхозпродукции факторы, влияющие на финансовый результат в целом, остались неизменными.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Себестоимость реализованной продукции составила 1,5 млрд. рублей, все организации сработали с прибылью, которая составила 372,0 млн. рублей, что выше уровня 2017 года в 2 раза.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Уровень рентабельности от реализации зерновых культур составил 24 процента, технических культур 19 процентов. 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Сохраняется положительная динамика увеличения оплаты труда в аграрном секторе, где рост данного показателя превысил 13 процентов и составил более 31,0 тыс. рублей.</w:t>
      </w:r>
    </w:p>
    <w:p w:rsidR="005B1F34" w:rsidRDefault="005B1F34" w:rsidP="005B1F34">
      <w:pPr>
        <w:pStyle w:val="Standard"/>
        <w:ind w:firstLine="567"/>
        <w:jc w:val="both"/>
      </w:pPr>
      <w:r>
        <w:rPr>
          <w:rFonts w:eastAsia="Times New Roman"/>
          <w:sz w:val="32"/>
          <w:szCs w:val="32"/>
          <w:lang w:val="ru-RU" w:eastAsia="en-US" w:bidi="ar-SA"/>
        </w:rPr>
        <w:t xml:space="preserve">Это выше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среднерайонного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значения на 4 процента, но ниже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общекраевого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показателя на 10 процентов. Это выше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среднерайонного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значения на 12 процентов, но ниже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общекраевого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показателя на 14 процентов.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В отрасли животноводства основная доля производства ложится на ЛПХ, где наличие поголовья КРС составляет 82 процента,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овцепоголовья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78 процентов.</w:t>
      </w:r>
    </w:p>
    <w:p w:rsidR="005B1F34" w:rsidRDefault="005B1F34" w:rsidP="005B1F34">
      <w:pPr>
        <w:pStyle w:val="Standard"/>
        <w:ind w:firstLine="567"/>
        <w:jc w:val="both"/>
      </w:pPr>
      <w:r>
        <w:rPr>
          <w:rFonts w:eastAsia="Times New Roman"/>
          <w:sz w:val="32"/>
          <w:szCs w:val="32"/>
          <w:lang w:val="ru-RU" w:eastAsia="en-US" w:bidi="ar-SA"/>
        </w:rPr>
        <w:t xml:space="preserve">За последние годы наблюдается тенденция снижения поголовья в ЛПХ, так к уровню 2017 года, снижение по КРС составило 14 процента, по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овцепоголовью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25 процентов</w:t>
      </w:r>
      <w:r>
        <w:rPr>
          <w:rFonts w:eastAsia="Times New Roman"/>
          <w:i/>
          <w:sz w:val="32"/>
          <w:szCs w:val="32"/>
          <w:lang w:val="ru-RU" w:eastAsia="en-US" w:bidi="ar-SA"/>
        </w:rPr>
        <w:t>.</w:t>
      </w:r>
      <w:r>
        <w:rPr>
          <w:rFonts w:eastAsia="Times New Roman"/>
          <w:sz w:val="32"/>
          <w:szCs w:val="32"/>
          <w:lang w:val="ru-RU" w:eastAsia="en-US" w:bidi="ar-SA"/>
        </w:rPr>
        <w:t xml:space="preserve"> </w:t>
      </w:r>
    </w:p>
    <w:p w:rsidR="005B1F34" w:rsidRDefault="005B1F34" w:rsidP="005B1F34">
      <w:pPr>
        <w:pStyle w:val="Standard"/>
        <w:ind w:firstLine="567"/>
        <w:jc w:val="both"/>
      </w:pPr>
      <w:r>
        <w:rPr>
          <w:rFonts w:eastAsia="Times New Roman"/>
          <w:sz w:val="32"/>
          <w:szCs w:val="32"/>
          <w:lang w:val="ru-RU" w:eastAsia="en-US" w:bidi="ar-SA"/>
        </w:rPr>
        <w:t xml:space="preserve">Наблюдается положительная динамика и реальная отдача от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грантовой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поддержки в рамках реализации программ для начинающих фермеров и семейных животноводческих ферм, которая с 2012 года составила более 70,0 млн. рублей и позволила увеличить поголовье КРС на 1500 голов,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овцепоголовья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на 700 голов, а производство молока на 730 тонн.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Всего в 2018 году аграриям района оказано мер государственной поддержки в размере более 12,0 млн. рублей. 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Основным крупным животноводческим предприятием района остается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Грачевская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птицефабрика, которая показывает стабильно </w:t>
      </w:r>
      <w:r>
        <w:rPr>
          <w:rFonts w:eastAsia="Times New Roman"/>
          <w:sz w:val="32"/>
          <w:szCs w:val="32"/>
          <w:lang w:val="ru-RU" w:eastAsia="en-US" w:bidi="ar-SA"/>
        </w:rPr>
        <w:lastRenderedPageBreak/>
        <w:t xml:space="preserve">устойчивые результаты производства куриного пищевого яйца, достойно занимает 2-ую строчку в крае по этому показателю, производя 25% от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общекраевого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объема.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Развитие животноводства в полной мере невозможно без качественного оказания ветеринарных услуг.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В отчетном периоде введен в эксплуатацию модульный комплекс ветлечебницы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в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с.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Сергиевское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пропускной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способностью более 7,0 тыс. голов в год, это существенно изменило условия оказания услуг и в целом улучшит санитарную обстановку в муниципалитете.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В текущем году планируется открытие аналогичных комплексов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в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с. Кугульта и с.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Бешпагир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.   </w:t>
      </w:r>
    </w:p>
    <w:p w:rsidR="005B1F34" w:rsidRDefault="005B1F34" w:rsidP="005B1F34">
      <w:pPr>
        <w:pStyle w:val="Standard"/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  <w:lang w:val="ru-RU"/>
        </w:rPr>
        <w:t>Одним из главных направлений в работе жилищно-коммунального хозяйства п</w:t>
      </w:r>
      <w:r>
        <w:rPr>
          <w:bCs/>
          <w:sz w:val="32"/>
          <w:szCs w:val="32"/>
        </w:rPr>
        <w:t>о-</w:t>
      </w:r>
      <w:proofErr w:type="spellStart"/>
      <w:r>
        <w:rPr>
          <w:bCs/>
          <w:sz w:val="32"/>
          <w:szCs w:val="32"/>
        </w:rPr>
        <w:t>прежнему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оста</w:t>
      </w:r>
      <w:r>
        <w:rPr>
          <w:bCs/>
          <w:sz w:val="32"/>
          <w:szCs w:val="32"/>
          <w:lang w:val="ru-RU"/>
        </w:rPr>
        <w:t>ются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вопрос</w:t>
      </w:r>
      <w:proofErr w:type="spellEnd"/>
      <w:r>
        <w:rPr>
          <w:bCs/>
          <w:sz w:val="32"/>
          <w:szCs w:val="32"/>
          <w:lang w:val="ru-RU"/>
        </w:rPr>
        <w:t>ы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ru-RU"/>
        </w:rPr>
        <w:t xml:space="preserve">улучшения газо-, тепло- и </w:t>
      </w:r>
      <w:proofErr w:type="spellStart"/>
      <w:r>
        <w:rPr>
          <w:bCs/>
          <w:sz w:val="32"/>
          <w:szCs w:val="32"/>
        </w:rPr>
        <w:t>водоснабжения</w:t>
      </w:r>
      <w:proofErr w:type="spellEnd"/>
      <w:r>
        <w:rPr>
          <w:bCs/>
          <w:sz w:val="32"/>
          <w:szCs w:val="32"/>
          <w:lang w:val="ru-RU"/>
        </w:rPr>
        <w:t xml:space="preserve"> населения, а также обеспечения жильем наших граждан.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В рамках программы «Устойчивое развитие сельских территорий» были продолжены мероприятия по строительству разводящих сетей водоснабжения хутора Базовый, это более 11 км сетей.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В настоящее время работы завершены, объект находится в стадии оформления. 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Реализация данного проекта позволит обеспечить питьевой водой 232 домовладения или более 500 человек.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Также заменено более 1,0 км подводящего водопровода с.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Бешпагир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>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Изношенность сетей водоснабжения одна из ключевых проблем нашего района, где этот показатель составляет свыше 75 процентов. Особую важность для решения этого вопроса имеет замена 18 км участка Шпаковского группового водопровода.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Нами направлены предложения во все инстанции для его замены.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proofErr w:type="gramStart"/>
      <w:r>
        <w:rPr>
          <w:rFonts w:eastAsia="Times New Roman"/>
          <w:sz w:val="32"/>
          <w:szCs w:val="32"/>
          <w:lang w:val="ru-RU" w:eastAsia="en-US" w:bidi="ar-SA"/>
        </w:rPr>
        <w:t>Не мало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важным вопросом для благоустройства наших сел является обустройство уличного освещения.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За отчетный период установлено 307 энергосберегающих светильников уличного освещения на общую сумму 260,0 тыс. рублей.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Конечно, это крайне мало и здесь нам предстоит еще многое сделать.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Кроме того, освещено более 10,0 км федеральной </w:t>
      </w:r>
      <w:r>
        <w:rPr>
          <w:rFonts w:eastAsia="Times New Roman"/>
          <w:sz w:val="32"/>
          <w:szCs w:val="32"/>
          <w:lang w:val="ru-RU" w:eastAsia="en-US" w:bidi="ar-SA"/>
        </w:rPr>
        <w:lastRenderedPageBreak/>
        <w:t xml:space="preserve">автомобильной дороги Р-216, где установлено 369 светильников,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что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безусловно улучшит безопасность дорожного движения.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С 1 января 2018 года на территории района стартовала так называемая «мусорная реформа». Услуги по обращению с твердыми коммунальными отходами оказывает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регоператор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ООО «Эко-Сити».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Нами совместно с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регоператором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была проведена большая информационная работа среди населения, путем организации сходов и выездных приемов граждан.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Сегодня плановым вывозом охвачены все населенные пункты района, в какой то, мере снижено количество несанкционированных свалок. Тем не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менее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по этому направлению еще много не решенных вопросов.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Решение задач по повышению доступности и качества жилья выполнялось в ходе реализации программ «Устойчивое развитие сельских территорий», «Молодая семья», «Обеспечение жильем детей-сирот».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итоге свои жилищные условия реализовали 36 молодых семей, специалистов, детей-сирот на общую сумму 26,0 млн. рублей, ими приобретено и построено 2100 кв. метров жилья. </w:t>
      </w:r>
    </w:p>
    <w:p w:rsidR="005B1F34" w:rsidRDefault="005B1F34" w:rsidP="005B1F34">
      <w:pPr>
        <w:pStyle w:val="Standard"/>
        <w:ind w:firstLine="567"/>
        <w:jc w:val="both"/>
      </w:pPr>
      <w:r>
        <w:rPr>
          <w:sz w:val="32"/>
          <w:szCs w:val="32"/>
          <w:lang w:val="ru-RU"/>
        </w:rPr>
        <w:t>Ж</w:t>
      </w:r>
      <w:r>
        <w:rPr>
          <w:rFonts w:eastAsia="Times New Roman"/>
          <w:sz w:val="32"/>
          <w:szCs w:val="32"/>
          <w:lang w:val="ru-RU" w:eastAsia="en-US" w:bidi="ar-SA"/>
        </w:rPr>
        <w:t xml:space="preserve">илищная очередь, формировавшаяся на протяжении более 5 лет, была фактически ликвидирована за 1 год. </w:t>
      </w:r>
      <w:proofErr w:type="spellStart"/>
      <w:r>
        <w:rPr>
          <w:sz w:val="32"/>
          <w:szCs w:val="32"/>
        </w:rPr>
        <w:t>Это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возможным</w:t>
      </w:r>
      <w:proofErr w:type="spellEnd"/>
      <w:r>
        <w:rPr>
          <w:sz w:val="32"/>
          <w:szCs w:val="32"/>
          <w:lang w:val="ru-RU"/>
        </w:rPr>
        <w:t xml:space="preserve"> благодаря решению Губернатора края Владимирова В.В., выделившего в прошлом году только на программу «Молодая семья» </w:t>
      </w:r>
      <w:r>
        <w:rPr>
          <w:rFonts w:eastAsia="Times New Roman"/>
          <w:sz w:val="32"/>
          <w:szCs w:val="32"/>
          <w:lang w:val="ru-RU" w:eastAsia="en-US" w:bidi="ar-SA"/>
        </w:rPr>
        <w:t>1 миллиард рублей в крае.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Эффективное использование имеющегося промышленного и сельскохозяйственного потенциала во многом зависит от объема инвестиций.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Этому способствуют реализуемые в районе федеральные, краевые и муниципальные программы, направленные на развитие экономики и социальной сферы.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bCs/>
          <w:sz w:val="32"/>
          <w:szCs w:val="32"/>
        </w:rPr>
        <w:t>Объем инвестиций в основной капитал за счет всех источников финансирования составил 502 млн. рублей, темп роста – 108 процентов, в расчете на одного жителя это составляет более 13 тыс. рублей.</w:t>
      </w:r>
    </w:p>
    <w:p w:rsidR="005B1F34" w:rsidRDefault="005B1F34" w:rsidP="005B1F34">
      <w:pPr>
        <w:pStyle w:val="Standard"/>
        <w:ind w:firstLine="567"/>
        <w:jc w:val="both"/>
      </w:pPr>
      <w:r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 xml:space="preserve">В отчетном году началась фактическая реализация </w:t>
      </w:r>
      <w:proofErr w:type="spellStart"/>
      <w:r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>инвестпроекта</w:t>
      </w:r>
      <w:proofErr w:type="spellEnd"/>
      <w:r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 xml:space="preserve"> «</w:t>
      </w:r>
      <w:proofErr w:type="spellStart"/>
      <w:r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>Старомарьевская</w:t>
      </w:r>
      <w:proofErr w:type="spellEnd"/>
      <w:r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 xml:space="preserve"> солнечная электростанция» установленной мощностью 100 МВт.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bCs/>
          <w:color w:val="000000"/>
          <w:sz w:val="32"/>
          <w:szCs w:val="32"/>
          <w:lang w:val="ru-RU" w:eastAsia="ru-RU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Инвестиции в основной капитал уже составили более 154,0 млн. руб.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lastRenderedPageBreak/>
        <w:t>В настоящее время ведется строительство повышающей подстанции и подъездной автодороги.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Реализация проекта позволит создать более 20 новых рабочих мест и получить объем налоговых поступлений в край до 380,0 млн. руб.</w:t>
      </w:r>
    </w:p>
    <w:p w:rsidR="005B1F34" w:rsidRDefault="005B1F34" w:rsidP="005B1F34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Отмечается положительная динамика промышленного производства.</w:t>
      </w:r>
    </w:p>
    <w:p w:rsidR="005B1F34" w:rsidRDefault="005B1F34" w:rsidP="005B1F34">
      <w:pPr>
        <w:ind w:firstLine="567"/>
        <w:jc w:val="both"/>
      </w:pPr>
      <w:proofErr w:type="gramStart"/>
      <w:r>
        <w:rPr>
          <w:bCs/>
          <w:sz w:val="32"/>
          <w:szCs w:val="32"/>
        </w:rPr>
        <w:t>Потенциал</w:t>
      </w:r>
      <w:proofErr w:type="gramEnd"/>
      <w:r>
        <w:rPr>
          <w:sz w:val="32"/>
          <w:szCs w:val="32"/>
        </w:rPr>
        <w:t xml:space="preserve"> которого включает в себя 13 предприятий, на которых задействовано 3 процента населения, занятого в экономике района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Отгружено товаров собственного производства, работ и услуг по крупным и средним промышленным предприятиям на 720,0 млн. руб., прирост составил - 4 процента.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районе имеется кондитерское, хлебопекарное, молочное и мукомольное производства.</w:t>
      </w:r>
    </w:p>
    <w:p w:rsidR="005B1F34" w:rsidRDefault="005B1F34" w:rsidP="005B1F34">
      <w:pPr>
        <w:ind w:firstLine="567"/>
        <w:jc w:val="both"/>
      </w:pPr>
      <w:r>
        <w:rPr>
          <w:sz w:val="32"/>
          <w:szCs w:val="32"/>
        </w:rPr>
        <w:t xml:space="preserve">Наибольший удельный вес в структуре произведенной продукции, приходится на пищевую и перерабатывающую промышленность. Это «фабрика </w:t>
      </w:r>
      <w:proofErr w:type="spellStart"/>
      <w:r>
        <w:rPr>
          <w:sz w:val="32"/>
          <w:szCs w:val="32"/>
        </w:rPr>
        <w:t>Сладевиль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Грачевский</w:t>
      </w:r>
      <w:proofErr w:type="spellEnd"/>
      <w:r>
        <w:rPr>
          <w:sz w:val="32"/>
          <w:szCs w:val="32"/>
        </w:rPr>
        <w:t xml:space="preserve"> элеватор» и другие.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Также в отчетном периоде открылось производство сахарного декора в селе Сергиевском, это предприятие показатель успешного развития альтернативных сельскому хозяйству и торговли видов предпринимательской деятельности.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Было создано 20 новых рабочих мест, поступления в бюджет составили более 300,0 тыс. рублей.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Несмотря на недостаток финансовых </w:t>
      </w:r>
      <w:proofErr w:type="gramStart"/>
      <w:r>
        <w:rPr>
          <w:sz w:val="32"/>
          <w:szCs w:val="32"/>
        </w:rPr>
        <w:t>ресурсов</w:t>
      </w:r>
      <w:proofErr w:type="gramEnd"/>
      <w:r>
        <w:rPr>
          <w:sz w:val="32"/>
          <w:szCs w:val="32"/>
        </w:rPr>
        <w:t xml:space="preserve"> продолжается работа по приведению улично-дорожной сети в соответствие.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Протяженность автомобильных дорог общего пользования муниципальной собственности составляет более 300 км, в том числе не отвечающих нормативным требованиям 60 процентов.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 ремонт и их содержание израсходовано 34 млн. рублей. Проведен комплексный ремонт более 3,0 км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орог, в результате чего, доля автодорог, не отвечающих нормативным требованиям, снизилась на 3%. 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текущем году четыре муниципальных образования с. </w:t>
      </w:r>
      <w:proofErr w:type="spellStart"/>
      <w:r>
        <w:rPr>
          <w:sz w:val="32"/>
          <w:szCs w:val="32"/>
        </w:rPr>
        <w:t>Тугулук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Старомарьевского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Спицевского</w:t>
      </w:r>
      <w:proofErr w:type="spellEnd"/>
      <w:r>
        <w:rPr>
          <w:sz w:val="32"/>
          <w:szCs w:val="32"/>
        </w:rPr>
        <w:t xml:space="preserve"> и Сергиевского сельсоветов планируют отремонтировать за счет сре</w:t>
      </w:r>
      <w:proofErr w:type="gramStart"/>
      <w:r>
        <w:rPr>
          <w:sz w:val="32"/>
          <w:szCs w:val="32"/>
        </w:rPr>
        <w:t>дств кр</w:t>
      </w:r>
      <w:proofErr w:type="gramEnd"/>
      <w:r>
        <w:rPr>
          <w:sz w:val="32"/>
          <w:szCs w:val="32"/>
        </w:rPr>
        <w:t>аевого дорожного фонда 4 улицы протяженностью около 6,0 км на общую сумму 20 млн. рублей.</w:t>
      </w:r>
    </w:p>
    <w:p w:rsidR="005B1F34" w:rsidRDefault="005B1F34" w:rsidP="005B1F34">
      <w:pPr>
        <w:pStyle w:val="11"/>
        <w:suppressAutoHyphens w:val="0"/>
        <w:ind w:firstLine="567"/>
        <w:jc w:val="both"/>
      </w:pPr>
      <w:r>
        <w:rPr>
          <w:color w:val="000000"/>
          <w:sz w:val="32"/>
          <w:szCs w:val="32"/>
        </w:rPr>
        <w:lastRenderedPageBreak/>
        <w:t>Развитие потребительского рынка характеризуется увеличением</w:t>
      </w:r>
      <w:r>
        <w:rPr>
          <w:b/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оборота розничной торговли к уровню 2017 года на 4 процента.</w:t>
      </w:r>
    </w:p>
    <w:p w:rsidR="005B1F34" w:rsidRDefault="005B1F34" w:rsidP="005B1F34">
      <w:pPr>
        <w:pStyle w:val="11"/>
        <w:suppressAutoHyphens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Основную долю оборота розничной торговли формируют субъекты малого и среднего предпринимательства – это более 70 процентов.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Жителей нашего района обслуживают 289 стационарных торговых точек и 23 предприятия общественного питания. Значительное место в обеспечении населения продуктами питания и товарами первой необходимости занимают ярмарки выездного дня,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года их проведено 520. 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Сеть объектов потребительского рынка ежегодно увеличивается. В отчетном периоде введено в эксплуатацию 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стационарных объекта торговли федеральных сетей общей площадью более 1200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., что способствовало увеличению показателя «Обеспеченность торговой площадью в расчете на 1000 жителей» до 500 кв. метров.</w:t>
      </w:r>
    </w:p>
    <w:p w:rsidR="005B1F34" w:rsidRDefault="005B1F34" w:rsidP="005B1F34">
      <w:pPr>
        <w:ind w:firstLine="567"/>
        <w:jc w:val="both"/>
      </w:pPr>
      <w:r>
        <w:rPr>
          <w:sz w:val="32"/>
          <w:szCs w:val="32"/>
        </w:rPr>
        <w:t>По направлению социального развития, также отмечена положительная динамика.</w:t>
      </w:r>
    </w:p>
    <w:p w:rsidR="005B1F34" w:rsidRDefault="005B1F34" w:rsidP="005B1F34">
      <w:pPr>
        <w:ind w:firstLine="567"/>
        <w:jc w:val="both"/>
      </w:pPr>
      <w:r>
        <w:rPr>
          <w:bCs/>
          <w:sz w:val="32"/>
          <w:szCs w:val="32"/>
        </w:rPr>
        <w:t>В системе образования</w:t>
      </w:r>
      <w:r>
        <w:rPr>
          <w:sz w:val="32"/>
          <w:szCs w:val="32"/>
        </w:rPr>
        <w:t xml:space="preserve"> функционируют 28 учреждений, услугами которых воспользовались около 8 тысяч граждан в возрасте до 18 лет.</w:t>
      </w:r>
    </w:p>
    <w:p w:rsidR="005B1F34" w:rsidRDefault="005B1F34" w:rsidP="005B1F34">
      <w:pPr>
        <w:jc w:val="both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</w:t>
      </w:r>
      <w:r>
        <w:rPr>
          <w:sz w:val="32"/>
          <w:szCs w:val="32"/>
        </w:rPr>
        <w:t>Средняя заработная плата педагогических работников, определенных региональным планом «Дорожная карта» выросла от 1 до 2 процентов и составила: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школах более 24 тыс. рублей, 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детских садах более 22 тыс. рублей 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в учреждениях доп. образования более 26 тыс. рублей,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Также в районе действует 12 учреждений культурно-досуговой деятельности</w:t>
      </w:r>
    </w:p>
    <w:p w:rsidR="005B1F34" w:rsidRDefault="005B1F34" w:rsidP="005B1F34">
      <w:pPr>
        <w:pStyle w:val="1"/>
        <w:numPr>
          <w:ilvl w:val="0"/>
          <w:numId w:val="2"/>
        </w:numPr>
        <w:shd w:val="clear" w:color="auto" w:fill="FFFFFF"/>
        <w:suppressAutoHyphens/>
        <w:spacing w:before="0" w:after="0"/>
        <w:ind w:left="0" w:firstLine="709"/>
        <w:jc w:val="both"/>
        <w:rPr>
          <w:sz w:val="32"/>
          <w:szCs w:val="32"/>
        </w:rPr>
      </w:pPr>
      <w:r>
        <w:rPr>
          <w:b w:val="0"/>
          <w:sz w:val="32"/>
          <w:szCs w:val="32"/>
        </w:rPr>
        <w:t>В связи с реализацией майских указов Президента средняя заработная плата выросла на 13 процентов и составила:</w:t>
      </w:r>
    </w:p>
    <w:p w:rsidR="005B1F34" w:rsidRDefault="005B1F34" w:rsidP="005B1F34">
      <w:pPr>
        <w:ind w:firstLine="709"/>
        <w:jc w:val="both"/>
        <w:rPr>
          <w:sz w:val="32"/>
          <w:szCs w:val="32"/>
        </w:rPr>
      </w:pPr>
      <w:r>
        <w:rPr>
          <w:spacing w:val="-8"/>
          <w:sz w:val="32"/>
          <w:szCs w:val="32"/>
        </w:rPr>
        <w:t>- у работников культуры района – 23 тыс. рублей;</w:t>
      </w:r>
    </w:p>
    <w:p w:rsidR="005B1F34" w:rsidRDefault="005B1F34" w:rsidP="005B1F3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 преподавателей музыкальной школы – 26 тыс. рублей.</w:t>
      </w:r>
    </w:p>
    <w:p w:rsidR="005B1F34" w:rsidRDefault="005B1F34" w:rsidP="005B1F3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части развития объектов социальной инфраструктуры и укрепления их материально технической базы были выполнены следующие виды работ: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заменена кровля в </w:t>
      </w:r>
      <w:proofErr w:type="spellStart"/>
      <w:r>
        <w:rPr>
          <w:sz w:val="32"/>
          <w:szCs w:val="32"/>
        </w:rPr>
        <w:t>Спицевской</w:t>
      </w:r>
      <w:proofErr w:type="spellEnd"/>
      <w:r>
        <w:rPr>
          <w:sz w:val="32"/>
          <w:szCs w:val="32"/>
        </w:rPr>
        <w:t xml:space="preserve"> школе площадью 3,5 тыс. кв. м и оконные блоки в детских садах площадью 388 квадратных метров;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проведен ремонт системы отопления в школе х. Октябрь;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организован спортивный клуб в </w:t>
      </w:r>
      <w:proofErr w:type="spellStart"/>
      <w:r>
        <w:rPr>
          <w:sz w:val="32"/>
          <w:szCs w:val="32"/>
        </w:rPr>
        <w:t>Спицевской</w:t>
      </w:r>
      <w:proofErr w:type="spellEnd"/>
      <w:r>
        <w:rPr>
          <w:sz w:val="32"/>
          <w:szCs w:val="32"/>
        </w:rPr>
        <w:t xml:space="preserve"> школе;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заменено холодильное оборудование пищеблоков в детских садах;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приобретено более 7,0 тыс., экземпляров учебников; 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в компьютерные классы приобретено 45 единиц оргтехники;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установлена система видеонаблюдения в 7 школах;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установлены ограждения в школах с. </w:t>
      </w:r>
      <w:proofErr w:type="gramStart"/>
      <w:r>
        <w:rPr>
          <w:sz w:val="32"/>
          <w:szCs w:val="32"/>
        </w:rPr>
        <w:t>Красное</w:t>
      </w:r>
      <w:proofErr w:type="gramEnd"/>
      <w:r>
        <w:rPr>
          <w:sz w:val="32"/>
          <w:szCs w:val="32"/>
        </w:rPr>
        <w:t xml:space="preserve"> и с. Кугульта; </w:t>
      </w:r>
    </w:p>
    <w:p w:rsidR="005B1F34" w:rsidRDefault="005B1F34" w:rsidP="005B1F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при поддержке Губернатора края получено два новых автобуса марки ПАЗ, а также выделены средства в размере 873 тыс. рублей для приобретения новогодних подарков для учащихся 1-4 классов.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целом на осуществление вышеуказанных мероприятий израсходовано более 21 млн. рублей.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Вместе с тем, в отрасли образование остается ряд не решенных и острых проблем, для решения которых требуется более 33 млн. рублей.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Их реализация будет осуществляться исходя из возможностей бюджета.</w:t>
      </w:r>
    </w:p>
    <w:p w:rsidR="005B1F34" w:rsidRDefault="005B1F34" w:rsidP="005B1F34">
      <w:pPr>
        <w:pStyle w:val="Standard"/>
        <w:ind w:firstLine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отрасли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культуры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завершен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капитальный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ремонт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районного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культуры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ремонт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внутренних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помещений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культуры</w:t>
      </w:r>
      <w:proofErr w:type="spell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Кугульта</w:t>
      </w:r>
      <w:proofErr w:type="spellEnd"/>
      <w:r>
        <w:rPr>
          <w:sz w:val="32"/>
          <w:szCs w:val="32"/>
        </w:rPr>
        <w:t>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b/>
          <w:sz w:val="32"/>
          <w:szCs w:val="32"/>
          <w:lang w:val="ru-RU" w:eastAsia="en-US" w:bidi="ar-SA"/>
        </w:rPr>
      </w:pPr>
      <w:proofErr w:type="spellStart"/>
      <w:r>
        <w:rPr>
          <w:sz w:val="32"/>
          <w:szCs w:val="32"/>
        </w:rPr>
        <w:t>Общие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расходы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указанные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составили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более</w:t>
      </w:r>
      <w:proofErr w:type="spellEnd"/>
      <w:r>
        <w:rPr>
          <w:sz w:val="32"/>
          <w:szCs w:val="32"/>
        </w:rPr>
        <w:t xml:space="preserve"> 52,0 </w:t>
      </w:r>
      <w:proofErr w:type="spellStart"/>
      <w:r>
        <w:rPr>
          <w:sz w:val="32"/>
          <w:szCs w:val="32"/>
        </w:rPr>
        <w:t>млн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рублей</w:t>
      </w:r>
      <w:proofErr w:type="spellEnd"/>
      <w:r>
        <w:rPr>
          <w:sz w:val="32"/>
          <w:szCs w:val="32"/>
        </w:rPr>
        <w:t>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прошлом году в рамках программы заменены витражи в Доме культуры с </w:t>
      </w:r>
      <w:proofErr w:type="spellStart"/>
      <w:r>
        <w:rPr>
          <w:sz w:val="32"/>
          <w:szCs w:val="32"/>
        </w:rPr>
        <w:t>Тугулук</w:t>
      </w:r>
      <w:proofErr w:type="spellEnd"/>
      <w:r>
        <w:rPr>
          <w:sz w:val="32"/>
          <w:szCs w:val="32"/>
        </w:rPr>
        <w:t xml:space="preserve">, и отремонтирован участок дороги по ул. Кооперативной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Кугульта.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Общая стоимость работ составила более 5,0 млн. рублей.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отчетном периоде все наши муниципалитеты приняли участие в конкурсном отборе, по итогам определено 7-мь победителей, в текущем году будут реализованы проекты по обустройству сквера, ремонту дорог, дома культуры, приобретение коммунальной техники и другие мероприятия.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Общая стоимость реализации проектов составит около 12,0 млн. рублей.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в рамках программы по формированию комфортной городской среды в Грачевке будет благоустроена «Площадь Молодежная», на общую стоимость более 14,0 млн. рублей.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это позволит начать решать давно назревшие проблемы в </w:t>
      </w:r>
      <w:r>
        <w:rPr>
          <w:sz w:val="32"/>
          <w:szCs w:val="32"/>
        </w:rPr>
        <w:lastRenderedPageBreak/>
        <w:t>наших селах.</w:t>
      </w:r>
    </w:p>
    <w:p w:rsidR="005B1F34" w:rsidRDefault="005B1F34" w:rsidP="005B1F34">
      <w:pPr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В отчетном периоде на регулярной основе физической культурой и спортом занимается около 14,0 тысяч человек, что составляет 42 процента от числа жителей от 3 до 79 лет, динамика роста составила 11 процентов.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 финансирование мероприятий направлено свыше 29,0 млн. рублей.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Расходы консолидированного бюджета района в расчете на 1 жителя составили 333 рубля.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Продолжается работа по строительству спортивных сооружений.</w:t>
      </w:r>
    </w:p>
    <w:p w:rsidR="005B1F34" w:rsidRDefault="005B1F34" w:rsidP="005B1F34">
      <w:pPr>
        <w:pStyle w:val="a0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селе </w:t>
      </w:r>
      <w:proofErr w:type="spellStart"/>
      <w:r>
        <w:rPr>
          <w:sz w:val="32"/>
          <w:szCs w:val="32"/>
        </w:rPr>
        <w:t>Старомарьевка</w:t>
      </w:r>
      <w:proofErr w:type="spellEnd"/>
      <w:r>
        <w:rPr>
          <w:sz w:val="32"/>
          <w:szCs w:val="32"/>
        </w:rPr>
        <w:t xml:space="preserve"> открыта пятая по счету комплексная спортивная площадка, она была реализована по программе «Устойчивое развитие сельских территорий», на ее строительство израсходовано около 3,0 млн. рублей.</w:t>
      </w:r>
    </w:p>
    <w:p w:rsidR="005B1F34" w:rsidRDefault="005B1F34" w:rsidP="005B1F34">
      <w:pPr>
        <w:pStyle w:val="a0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текущем году планируется благоустроить прилегающую территорию площадки, оборудовав ее школьным спортивным клубом.</w:t>
      </w:r>
    </w:p>
    <w:p w:rsidR="005B1F34" w:rsidRDefault="005B1F34" w:rsidP="005B1F34">
      <w:pPr>
        <w:pStyle w:val="a0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Это позволит дополнительно привлечь к спортивным занятиям 480 детей.</w:t>
      </w:r>
    </w:p>
    <w:p w:rsidR="005B1F34" w:rsidRDefault="005B1F34" w:rsidP="005B1F34">
      <w:pPr>
        <w:pStyle w:val="a0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Увеличивается рост числа </w:t>
      </w:r>
      <w:proofErr w:type="gramStart"/>
      <w:r>
        <w:rPr>
          <w:sz w:val="32"/>
          <w:szCs w:val="32"/>
        </w:rPr>
        <w:t>занимающихся</w:t>
      </w:r>
      <w:proofErr w:type="gramEnd"/>
      <w:r>
        <w:rPr>
          <w:sz w:val="32"/>
          <w:szCs w:val="32"/>
        </w:rPr>
        <w:t xml:space="preserve"> спортом на уровне школьного звена и молодежи. Отремонтированы спортивные залы в </w:t>
      </w:r>
      <w:proofErr w:type="spellStart"/>
      <w:r>
        <w:rPr>
          <w:sz w:val="32"/>
          <w:szCs w:val="32"/>
        </w:rPr>
        <w:t>Бешпагирской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Грачевской</w:t>
      </w:r>
      <w:proofErr w:type="spellEnd"/>
      <w:r>
        <w:rPr>
          <w:sz w:val="32"/>
          <w:szCs w:val="32"/>
        </w:rPr>
        <w:t xml:space="preserve"> школах.</w:t>
      </w:r>
    </w:p>
    <w:p w:rsidR="005B1F34" w:rsidRDefault="005B1F34" w:rsidP="005B1F34">
      <w:pPr>
        <w:pStyle w:val="a0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Создан школьный спортивный клуб в </w:t>
      </w:r>
      <w:proofErr w:type="spellStart"/>
      <w:r>
        <w:rPr>
          <w:sz w:val="32"/>
          <w:szCs w:val="32"/>
        </w:rPr>
        <w:t>Спицевской</w:t>
      </w:r>
      <w:proofErr w:type="spellEnd"/>
      <w:r>
        <w:rPr>
          <w:sz w:val="32"/>
          <w:szCs w:val="32"/>
        </w:rPr>
        <w:t xml:space="preserve"> школе, что позволило увеличить число занимающихся на 260 детей.</w:t>
      </w:r>
    </w:p>
    <w:p w:rsidR="005B1F34" w:rsidRDefault="005B1F34" w:rsidP="005B1F34">
      <w:pPr>
        <w:ind w:firstLine="567"/>
        <w:jc w:val="both"/>
        <w:rPr>
          <w:rFonts w:cs="Mangal"/>
          <w:sz w:val="32"/>
          <w:szCs w:val="32"/>
        </w:rPr>
      </w:pPr>
      <w:r>
        <w:rPr>
          <w:rFonts w:cs="Mangal"/>
          <w:bCs/>
          <w:sz w:val="32"/>
          <w:szCs w:val="32"/>
        </w:rPr>
        <w:t>В работе системы здравоохранения района необходимо отметить положительную динамику выполнения</w:t>
      </w:r>
      <w:r>
        <w:rPr>
          <w:rFonts w:cs="Mangal"/>
          <w:sz w:val="32"/>
          <w:szCs w:val="32"/>
        </w:rPr>
        <w:t xml:space="preserve"> Плана «дорожной карты» по уровню заработной платы у врачей на 2,0 %.</w:t>
      </w:r>
    </w:p>
    <w:p w:rsidR="005B1F34" w:rsidRDefault="005B1F34" w:rsidP="005B1F34">
      <w:pPr>
        <w:pStyle w:val="Standard"/>
        <w:ind w:firstLine="567"/>
        <w:jc w:val="both"/>
        <w:rPr>
          <w:rFonts w:eastAsia="SimSun;ЛОМе" w:cs="Mangal"/>
          <w:kern w:val="2"/>
          <w:sz w:val="32"/>
          <w:szCs w:val="32"/>
          <w:lang w:eastAsia="hi-IN" w:bidi="hi-IN"/>
        </w:rPr>
      </w:pP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Реализуется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план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мероприятий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повышению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доступности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и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качества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оказания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лечебно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-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диагностической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помощи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населению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.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Число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посещений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амбулаторно-поликлинических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учреждений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на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1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жителя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в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год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стабилизировалось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на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уровне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8.</w:t>
      </w:r>
    </w:p>
    <w:p w:rsidR="005B1F34" w:rsidRDefault="005B1F34" w:rsidP="005B1F34">
      <w:pPr>
        <w:pStyle w:val="Standard"/>
        <w:ind w:firstLine="567"/>
        <w:jc w:val="both"/>
        <w:rPr>
          <w:rFonts w:eastAsia="SimSun;ЛОМе" w:cs="Mangal"/>
          <w:kern w:val="2"/>
          <w:sz w:val="32"/>
          <w:szCs w:val="32"/>
          <w:lang w:eastAsia="hi-IN" w:bidi="hi-IN"/>
        </w:rPr>
      </w:pP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Проводимые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лечебно-оздоровительные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мероприятия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привели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к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снижению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показателя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общей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смертности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населения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от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болезней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органов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кровообращения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более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чем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в 1,5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раза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>.</w:t>
      </w:r>
    </w:p>
    <w:p w:rsidR="005B1F34" w:rsidRDefault="005B1F34" w:rsidP="005B1F34">
      <w:pPr>
        <w:pStyle w:val="Standard"/>
        <w:ind w:firstLine="567"/>
        <w:jc w:val="both"/>
        <w:rPr>
          <w:rFonts w:eastAsia="SimSun;ЛОМе" w:cs="Mangal"/>
          <w:kern w:val="2"/>
          <w:sz w:val="32"/>
          <w:szCs w:val="32"/>
          <w:lang w:eastAsia="hi-IN" w:bidi="hi-IN"/>
        </w:rPr>
      </w:pP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Средняя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продолжительность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жизни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населения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составляет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71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год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>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b/>
          <w:sz w:val="32"/>
          <w:szCs w:val="32"/>
          <w:lang w:val="ru-RU" w:eastAsia="en-US" w:bidi="ar-SA"/>
        </w:rPr>
      </w:pP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Принятые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меры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улучшению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оказания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медицинской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помощи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населению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, в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том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числе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из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«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группы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риска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»,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позволили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значительно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уменьшить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показатели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по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социально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-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значимым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 </w:t>
      </w:r>
      <w:proofErr w:type="spellStart"/>
      <w:r>
        <w:rPr>
          <w:rFonts w:eastAsia="SimSun;ЛОМе" w:cs="Mangal"/>
          <w:kern w:val="2"/>
          <w:sz w:val="32"/>
          <w:szCs w:val="32"/>
          <w:lang w:eastAsia="hi-IN" w:bidi="hi-IN"/>
        </w:rPr>
        <w:t>заболеваниям</w:t>
      </w:r>
      <w:proofErr w:type="spellEnd"/>
      <w:r>
        <w:rPr>
          <w:rFonts w:eastAsia="SimSun;ЛОМе" w:cs="Mangal"/>
          <w:kern w:val="2"/>
          <w:sz w:val="32"/>
          <w:szCs w:val="32"/>
          <w:lang w:eastAsia="hi-IN" w:bidi="hi-IN"/>
        </w:rPr>
        <w:t xml:space="preserve">.  </w:t>
      </w:r>
    </w:p>
    <w:p w:rsidR="005B1F34" w:rsidRDefault="005B1F34" w:rsidP="005B1F34">
      <w:pPr>
        <w:pStyle w:val="Standard"/>
        <w:ind w:firstLine="567"/>
        <w:jc w:val="both"/>
        <w:rPr>
          <w:rFonts w:eastAsia="SimSun;ЛОМе" w:cs="Mangal"/>
          <w:kern w:val="2"/>
          <w:sz w:val="32"/>
          <w:szCs w:val="32"/>
          <w:lang w:val="ru-RU" w:eastAsia="hi-IN" w:bidi="hi-IN"/>
        </w:rPr>
      </w:pPr>
      <w:r>
        <w:rPr>
          <w:rFonts w:eastAsia="SimSun;ЛОМе" w:cs="Mangal"/>
          <w:kern w:val="2"/>
          <w:sz w:val="32"/>
          <w:szCs w:val="32"/>
          <w:lang w:val="ru-RU" w:eastAsia="hi-IN" w:bidi="hi-IN"/>
        </w:rPr>
        <w:lastRenderedPageBreak/>
        <w:t>В полном объеме работает «электронная регистратура», где в прошлом году записались на прием к врачам более 23 тысяч человек.</w:t>
      </w:r>
    </w:p>
    <w:p w:rsidR="005B1F34" w:rsidRDefault="005B1F34" w:rsidP="005B1F34">
      <w:pPr>
        <w:pStyle w:val="Standard"/>
        <w:ind w:firstLine="567"/>
        <w:jc w:val="both"/>
        <w:rPr>
          <w:rFonts w:eastAsia="SimSun;ЛОМе" w:cs="Mangal"/>
          <w:kern w:val="2"/>
          <w:sz w:val="32"/>
          <w:szCs w:val="32"/>
          <w:lang w:val="ru-RU" w:eastAsia="hi-IN" w:bidi="hi-IN"/>
        </w:rPr>
      </w:pPr>
      <w:r>
        <w:rPr>
          <w:rFonts w:eastAsia="SimSun;ЛОМе" w:cs="Mangal"/>
          <w:kern w:val="2"/>
          <w:sz w:val="32"/>
          <w:szCs w:val="32"/>
          <w:lang w:val="ru-RU" w:eastAsia="hi-IN" w:bidi="hi-IN"/>
        </w:rPr>
        <w:t>Активно реализуются мероприятия проекта «Бережливая поликлиника» с целью повышения своевременности и комфортности оказываемой пациентам медицинской помощи.</w:t>
      </w:r>
    </w:p>
    <w:p w:rsidR="005B1F34" w:rsidRDefault="005B1F34" w:rsidP="005B1F34">
      <w:pPr>
        <w:pStyle w:val="Standard"/>
        <w:ind w:firstLine="567"/>
        <w:jc w:val="both"/>
        <w:rPr>
          <w:rFonts w:eastAsia="SimSun;ЛОМе" w:cs="Mangal"/>
          <w:kern w:val="2"/>
          <w:sz w:val="32"/>
          <w:szCs w:val="32"/>
          <w:lang w:val="ru-RU" w:eastAsia="hi-IN" w:bidi="hi-IN"/>
        </w:rPr>
      </w:pPr>
      <w:r>
        <w:rPr>
          <w:rFonts w:eastAsia="SimSun;ЛОМе" w:cs="Mangal"/>
          <w:kern w:val="2"/>
          <w:sz w:val="32"/>
          <w:szCs w:val="32"/>
          <w:lang w:val="ru-RU" w:eastAsia="hi-IN" w:bidi="hi-IN"/>
        </w:rPr>
        <w:t>Удовлетворенность пациентов качеством оказания медицинских услуг составила 87,0 процентов.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В части улучшения материально-технической базы учреждений проведен косметический ремонт акушерского отделения, режимных кабинетов в поликлинике, приобретен подъемник лестничный в районную поликлинику.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Отделения скорой медицинской помощи районной больницы,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Спицевской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 xml:space="preserve"> и Сергиевской участковой больниц были укомплектованы новыми санитарными автомобилями класса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 xml:space="preserve"> В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общей стоимостью свыше 4 млн. рублей.  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b/>
          <w:sz w:val="32"/>
          <w:szCs w:val="32"/>
          <w:lang w:val="ru-RU" w:eastAsia="en-US" w:bidi="ar-SA"/>
        </w:rPr>
      </w:pPr>
      <w:r>
        <w:rPr>
          <w:rFonts w:eastAsia="SimSun;ЛОМе" w:cs="Mangal"/>
          <w:kern w:val="2"/>
          <w:sz w:val="32"/>
          <w:szCs w:val="32"/>
          <w:lang w:val="ru-RU" w:eastAsia="hi-IN" w:bidi="hi-IN"/>
        </w:rPr>
        <w:t>Вместе с тем необходимо продолжить улучшение показателей по обновлению медицинского оборудования, поддержанию зданий и сооружений медицинского назначения в надлежащем состоянии.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Также одним из наиболее приоритетных проектов в области здравоохранения является строительство больницы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в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с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 xml:space="preserve">. Кугульта на 15 </w:t>
      </w:r>
      <w:proofErr w:type="spellStart"/>
      <w:r>
        <w:rPr>
          <w:rFonts w:eastAsia="Times New Roman"/>
          <w:sz w:val="32"/>
          <w:szCs w:val="32"/>
          <w:lang w:val="ru-RU" w:eastAsia="en-US" w:bidi="ar-SA"/>
        </w:rPr>
        <w:t>койкомест</w:t>
      </w:r>
      <w:proofErr w:type="spellEnd"/>
      <w:r>
        <w:rPr>
          <w:rFonts w:eastAsia="Times New Roman"/>
          <w:sz w:val="32"/>
          <w:szCs w:val="32"/>
          <w:lang w:val="ru-RU" w:eastAsia="en-US" w:bidi="ar-SA"/>
        </w:rPr>
        <w:t>, реализация которого улучшит доступ населения к объектам здравоохранения на селе.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Стоимость проекта составит более 115,0 млн. рублей.</w:t>
      </w:r>
    </w:p>
    <w:p w:rsidR="005B1F34" w:rsidRDefault="005B1F34" w:rsidP="005B1F34">
      <w:pPr>
        <w:ind w:firstLine="567"/>
        <w:jc w:val="both"/>
      </w:pPr>
      <w:r>
        <w:rPr>
          <w:sz w:val="32"/>
          <w:szCs w:val="32"/>
        </w:rPr>
        <w:t xml:space="preserve">В сфере социальной защиты населения, различного рода выплаты получили 13 тысяч человек – это треть населения района. 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Жителям района оказано более 30 видов различных выплат, компенсаций и пособий. 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Объем расходов на эти цели составил 181 млн. рублей.</w:t>
      </w:r>
    </w:p>
    <w:p w:rsidR="005B1F34" w:rsidRDefault="005B1F34" w:rsidP="005B1F34">
      <w:pPr>
        <w:pStyle w:val="Standard"/>
        <w:ind w:firstLine="567"/>
        <w:jc w:val="both"/>
      </w:pPr>
      <w:r>
        <w:rPr>
          <w:sz w:val="32"/>
          <w:szCs w:val="32"/>
          <w:lang w:val="ru-RU"/>
        </w:rPr>
        <w:t>Это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социальной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поддержки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семьям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детьми</w:t>
      </w:r>
      <w:proofErr w:type="spellEnd"/>
      <w:r>
        <w:rPr>
          <w:sz w:val="32"/>
          <w:szCs w:val="32"/>
        </w:rPr>
        <w:t xml:space="preserve">. </w:t>
      </w:r>
    </w:p>
    <w:p w:rsidR="005B1F34" w:rsidRDefault="005B1F34" w:rsidP="005B1F34">
      <w:pPr>
        <w:pStyle w:val="Standard"/>
        <w:ind w:firstLine="567"/>
        <w:jc w:val="both"/>
      </w:pPr>
      <w:r>
        <w:rPr>
          <w:sz w:val="32"/>
          <w:szCs w:val="32"/>
          <w:lang w:val="ru-RU"/>
        </w:rPr>
        <w:t>Поддержка региональных льготников: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ветеранам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труда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труженикам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тыла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>и другим категориям граждан.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b/>
          <w:sz w:val="32"/>
          <w:szCs w:val="32"/>
          <w:lang w:val="ru-RU" w:eastAsia="en-US" w:bidi="ar-SA"/>
        </w:rPr>
      </w:pPr>
      <w:r>
        <w:rPr>
          <w:sz w:val="32"/>
          <w:szCs w:val="32"/>
          <w:lang w:val="ru-RU"/>
        </w:rPr>
        <w:t xml:space="preserve">Также компенсированы </w:t>
      </w:r>
      <w:proofErr w:type="spellStart"/>
      <w:r>
        <w:rPr>
          <w:sz w:val="32"/>
          <w:szCs w:val="32"/>
        </w:rPr>
        <w:t>расходы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граждан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оплату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жилого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помещения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коммунальных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услуг</w:t>
      </w:r>
      <w:proofErr w:type="spellEnd"/>
      <w:r>
        <w:rPr>
          <w:sz w:val="32"/>
          <w:szCs w:val="32"/>
          <w:lang w:val="ru-RU"/>
        </w:rPr>
        <w:t>, в том числе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Обращение</w:t>
      </w:r>
      <w:proofErr w:type="spellEnd"/>
      <w:r>
        <w:rPr>
          <w:sz w:val="32"/>
          <w:szCs w:val="32"/>
        </w:rPr>
        <w:t xml:space="preserve"> с ТКО» в </w:t>
      </w:r>
      <w:proofErr w:type="spellStart"/>
      <w:r>
        <w:rPr>
          <w:sz w:val="32"/>
          <w:szCs w:val="32"/>
        </w:rPr>
        <w:t>размере</w:t>
      </w:r>
      <w:proofErr w:type="spellEnd"/>
      <w:r>
        <w:rPr>
          <w:sz w:val="32"/>
          <w:szCs w:val="32"/>
        </w:rPr>
        <w:t xml:space="preserve"> 50 </w:t>
      </w:r>
      <w:proofErr w:type="spellStart"/>
      <w:r>
        <w:rPr>
          <w:sz w:val="32"/>
          <w:szCs w:val="32"/>
        </w:rPr>
        <w:t>процентов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установленного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тарифа</w:t>
      </w:r>
      <w:proofErr w:type="spellEnd"/>
      <w:r>
        <w:rPr>
          <w:sz w:val="32"/>
          <w:szCs w:val="32"/>
        </w:rPr>
        <w:t>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b/>
          <w:sz w:val="32"/>
          <w:szCs w:val="32"/>
          <w:lang w:val="ru-RU" w:eastAsia="en-US" w:bidi="ar-SA"/>
        </w:rPr>
      </w:pPr>
      <w:proofErr w:type="spellStart"/>
      <w:r>
        <w:rPr>
          <w:sz w:val="32"/>
          <w:szCs w:val="32"/>
        </w:rPr>
        <w:t>Важное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место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работе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администрации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занимает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молодежная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политика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Доля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молодежи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структуре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населения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района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составляет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около</w:t>
      </w:r>
      <w:proofErr w:type="spellEnd"/>
      <w:r>
        <w:rPr>
          <w:color w:val="000000"/>
          <w:sz w:val="32"/>
          <w:szCs w:val="32"/>
        </w:rPr>
        <w:t xml:space="preserve"> 8 </w:t>
      </w:r>
      <w:proofErr w:type="spellStart"/>
      <w:r>
        <w:rPr>
          <w:color w:val="000000"/>
          <w:sz w:val="32"/>
          <w:szCs w:val="32"/>
        </w:rPr>
        <w:t>тыс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человек</w:t>
      </w:r>
      <w:proofErr w:type="spellEnd"/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ru-RU"/>
        </w:rPr>
        <w:t>это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более</w:t>
      </w:r>
      <w:proofErr w:type="spellEnd"/>
      <w:r>
        <w:rPr>
          <w:color w:val="000000"/>
          <w:sz w:val="32"/>
          <w:szCs w:val="32"/>
        </w:rPr>
        <w:t xml:space="preserve"> 20 % </w:t>
      </w:r>
      <w:proofErr w:type="spellStart"/>
      <w:r>
        <w:rPr>
          <w:color w:val="000000"/>
          <w:sz w:val="32"/>
          <w:szCs w:val="32"/>
        </w:rPr>
        <w:t>от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общего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числа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жителей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района</w:t>
      </w:r>
      <w:proofErr w:type="spellEnd"/>
      <w:r>
        <w:rPr>
          <w:color w:val="000000"/>
          <w:sz w:val="32"/>
          <w:szCs w:val="32"/>
        </w:rPr>
        <w:t xml:space="preserve">. </w:t>
      </w:r>
    </w:p>
    <w:p w:rsidR="005B1F34" w:rsidRDefault="005B1F34" w:rsidP="005B1F34">
      <w:pPr>
        <w:pStyle w:val="a0"/>
        <w:spacing w:after="0"/>
        <w:ind w:firstLine="708"/>
        <w:jc w:val="both"/>
      </w:pPr>
      <w:r>
        <w:rPr>
          <w:sz w:val="32"/>
          <w:szCs w:val="32"/>
        </w:rPr>
        <w:t xml:space="preserve">Проведено 143 районных массовых мероприятий </w:t>
      </w:r>
      <w:r>
        <w:rPr>
          <w:sz w:val="32"/>
          <w:szCs w:val="32"/>
          <w:highlight w:val="white"/>
        </w:rPr>
        <w:t xml:space="preserve">с творческой </w:t>
      </w:r>
      <w:r>
        <w:rPr>
          <w:sz w:val="32"/>
          <w:szCs w:val="32"/>
          <w:highlight w:val="white"/>
        </w:rPr>
        <w:lastRenderedPageBreak/>
        <w:t>молодежью, волонтерами, мероприятий, направленных на профилактику асоциального поведения, межэтнического согласия,</w:t>
      </w:r>
      <w:r>
        <w:rPr>
          <w:sz w:val="32"/>
          <w:szCs w:val="32"/>
        </w:rPr>
        <w:t xml:space="preserve"> а также патриотического направления, участниками которых стали около 13,0 тыс.  представителей молодежи.</w:t>
      </w:r>
    </w:p>
    <w:p w:rsidR="005B1F34" w:rsidRDefault="005B1F34" w:rsidP="005B1F3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отчетном периоде приняты дополнительные меры по повышению антитеррористической безопасности 9 с массовым пребыванием людей, увеличению числа мероприятий по профилактике асоциальных явлений в молодежной среде, а также направленных на сохранение традиций и культуры межнационального общения.</w:t>
      </w:r>
    </w:p>
    <w:p w:rsidR="005B1F34" w:rsidRDefault="005B1F34" w:rsidP="005B1F34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Работа по противодействию коррупции строится на основе федерального, регионального законодательства, муниципальных правовых актов, а также во взаимодействии с надзорным органом, на основании заключенного Соглашения. </w:t>
      </w:r>
    </w:p>
    <w:p w:rsidR="005B1F34" w:rsidRDefault="005B1F34" w:rsidP="005B1F34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За период его действия направлено 36 проектов, на которые получены положительные заключения.</w:t>
      </w:r>
    </w:p>
    <w:p w:rsidR="005B1F34" w:rsidRDefault="005B1F34" w:rsidP="005B1F34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Прокуратурой района на действующие нормативно-правовые акты внесено 8 протестов. </w:t>
      </w:r>
    </w:p>
    <w:p w:rsidR="005B1F34" w:rsidRDefault="005B1F34" w:rsidP="005B1F34">
      <w:pPr>
        <w:ind w:firstLine="540"/>
        <w:jc w:val="both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Все протесты удовлетворены, внесены соответствующие изменения.</w:t>
      </w:r>
    </w:p>
    <w:p w:rsidR="005B1F34" w:rsidRDefault="005B1F34" w:rsidP="005B1F34">
      <w:pPr>
        <w:shd w:val="clear" w:color="auto" w:fill="FFFFFF"/>
        <w:ind w:firstLine="567"/>
        <w:jc w:val="both"/>
      </w:pPr>
      <w:r>
        <w:rPr>
          <w:sz w:val="32"/>
          <w:szCs w:val="32"/>
        </w:rPr>
        <w:t>Переходя к перспективам развития района, необходимо отметить следующее.</w:t>
      </w:r>
    </w:p>
    <w:p w:rsidR="005B1F34" w:rsidRDefault="005B1F34" w:rsidP="005B1F34">
      <w:pPr>
        <w:pStyle w:val="Standard"/>
        <w:ind w:firstLine="567"/>
        <w:jc w:val="both"/>
      </w:pPr>
      <w:r>
        <w:rPr>
          <w:rFonts w:eastAsia="Times New Roman"/>
          <w:sz w:val="32"/>
          <w:szCs w:val="32"/>
        </w:rPr>
        <w:t xml:space="preserve">В </w:t>
      </w:r>
      <w:proofErr w:type="spellStart"/>
      <w:r>
        <w:rPr>
          <w:rFonts w:eastAsia="Times New Roman"/>
          <w:sz w:val="32"/>
          <w:szCs w:val="32"/>
        </w:rPr>
        <w:t>текущем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году</w:t>
      </w:r>
      <w:proofErr w:type="spellEnd"/>
      <w:r>
        <w:rPr>
          <w:rFonts w:eastAsia="Times New Roman"/>
          <w:sz w:val="32"/>
          <w:szCs w:val="32"/>
          <w:lang w:val="ru-RU"/>
        </w:rPr>
        <w:t xml:space="preserve">, в рамках инвестиционной деятельности </w:t>
      </w:r>
      <w:proofErr w:type="spellStart"/>
      <w:r>
        <w:rPr>
          <w:rFonts w:eastAsia="Times New Roman"/>
          <w:sz w:val="32"/>
          <w:szCs w:val="32"/>
        </w:rPr>
        <w:t>планируется</w:t>
      </w:r>
      <w:proofErr w:type="spellEnd"/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lang w:val="ru-RU"/>
        </w:rPr>
        <w:t>ввод в эксплуатацию</w:t>
      </w:r>
      <w:r>
        <w:rPr>
          <w:rFonts w:eastAsia="Times New Roman"/>
          <w:sz w:val="32"/>
          <w:szCs w:val="32"/>
          <w:lang w:val="ru-RU" w:eastAsia="en-US" w:bidi="ar-SA"/>
        </w:rPr>
        <w:t xml:space="preserve"> повышающей подстанции и 5-ти очередей генерирующих электростанций </w:t>
      </w:r>
      <w:r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>«</w:t>
      </w:r>
      <w:proofErr w:type="spellStart"/>
      <w:r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>Старомарьевской</w:t>
      </w:r>
      <w:proofErr w:type="spellEnd"/>
      <w:r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 xml:space="preserve"> солнечной электростанции» </w:t>
      </w:r>
      <w:r>
        <w:rPr>
          <w:rFonts w:eastAsia="Times New Roman"/>
          <w:sz w:val="32"/>
          <w:szCs w:val="32"/>
          <w:lang w:val="ru-RU" w:eastAsia="en-US" w:bidi="ar-SA"/>
        </w:rPr>
        <w:t>совокупной мощностью 75 МВт, что позволит укрепить налоговую базу района и создать дополнительные рабочие места.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целях создания благоприятных условий для привлечения инвесторов необходимо сформировать земельные участки для инвестиционных площадок под садоводство и виноградарство.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 xml:space="preserve">В аграрном секторе в отрасли животноводства в первую очередь сосредоточится на увеличении производства мяса и молока, а также увеличения продуктивности в молочном скотоводстве через создание семейной фермы и кооперации КФХ, </w:t>
      </w:r>
      <w:proofErr w:type="gramStart"/>
      <w:r>
        <w:rPr>
          <w:rFonts w:eastAsia="Times New Roman"/>
          <w:sz w:val="32"/>
          <w:szCs w:val="32"/>
          <w:lang w:val="ru-RU" w:eastAsia="en-US" w:bidi="ar-SA"/>
        </w:rPr>
        <w:t>уверен</w:t>
      </w:r>
      <w:proofErr w:type="gramEnd"/>
      <w:r>
        <w:rPr>
          <w:rFonts w:eastAsia="Times New Roman"/>
          <w:sz w:val="32"/>
          <w:szCs w:val="32"/>
          <w:lang w:val="ru-RU" w:eastAsia="en-US" w:bidi="ar-SA"/>
        </w:rPr>
        <w:t>, что предпосылки для этого имеются.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r>
        <w:rPr>
          <w:rFonts w:eastAsia="Times New Roman"/>
          <w:sz w:val="32"/>
          <w:szCs w:val="32"/>
          <w:lang w:val="ru-RU" w:eastAsia="en-US" w:bidi="ar-SA"/>
        </w:rPr>
        <w:t>В отрасли растениеводства – проработать вопрос по разработке ПСД, предусматривающей строительство оросительных систем для интенсивного садоводства и выращивания кормовых культур для нужд животноводства.</w:t>
      </w:r>
    </w:p>
    <w:p w:rsidR="005B1F34" w:rsidRDefault="005B1F34" w:rsidP="005B1F34">
      <w:pPr>
        <w:pStyle w:val="Standard"/>
        <w:ind w:firstLine="567"/>
        <w:jc w:val="both"/>
        <w:rPr>
          <w:rFonts w:eastAsia="Times New Roman"/>
          <w:sz w:val="32"/>
          <w:szCs w:val="32"/>
          <w:lang w:val="ru-RU" w:eastAsia="en-US" w:bidi="ar-SA"/>
        </w:rPr>
      </w:pPr>
      <w:proofErr w:type="spellStart"/>
      <w:r>
        <w:rPr>
          <w:rFonts w:eastAsia="Times New Roman"/>
          <w:sz w:val="32"/>
          <w:szCs w:val="32"/>
        </w:rPr>
        <w:lastRenderedPageBreak/>
        <w:t>Продолжить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работу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для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возможного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участия</w:t>
      </w:r>
      <w:proofErr w:type="spellEnd"/>
      <w:r>
        <w:rPr>
          <w:rFonts w:eastAsia="Times New Roman"/>
          <w:sz w:val="32"/>
          <w:szCs w:val="32"/>
        </w:rPr>
        <w:t xml:space="preserve"> в </w:t>
      </w:r>
      <w:proofErr w:type="spellStart"/>
      <w:r>
        <w:rPr>
          <w:rFonts w:eastAsia="Times New Roman"/>
          <w:sz w:val="32"/>
          <w:szCs w:val="32"/>
        </w:rPr>
        <w:t>проекте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</w:rPr>
        <w:t>по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</w:rPr>
        <w:t>развитию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</w:rPr>
        <w:t>интенсивного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</w:rPr>
        <w:t>садоводства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в </w:t>
      </w:r>
      <w:proofErr w:type="spellStart"/>
      <w:r>
        <w:rPr>
          <w:color w:val="333333"/>
          <w:sz w:val="32"/>
          <w:szCs w:val="32"/>
          <w:shd w:val="clear" w:color="auto" w:fill="FFFFFF"/>
        </w:rPr>
        <w:t>личных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</w:rPr>
        <w:t>подсобных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</w:rPr>
        <w:t>хозяйствах</w:t>
      </w:r>
      <w:proofErr w:type="spellEnd"/>
      <w:r>
        <w:rPr>
          <w:color w:val="333333"/>
          <w:sz w:val="32"/>
          <w:szCs w:val="32"/>
          <w:shd w:val="clear" w:color="auto" w:fill="FFFFFF"/>
        </w:rPr>
        <w:t>.</w:t>
      </w:r>
    </w:p>
    <w:p w:rsidR="005B1F34" w:rsidRDefault="005B1F34" w:rsidP="005B1F34">
      <w:pPr>
        <w:shd w:val="clear" w:color="auto" w:fill="FFFFFF"/>
        <w:ind w:firstLine="567"/>
        <w:jc w:val="both"/>
      </w:pPr>
      <w:r>
        <w:rPr>
          <w:color w:val="333333"/>
          <w:sz w:val="32"/>
          <w:szCs w:val="32"/>
          <w:highlight w:val="white"/>
        </w:rPr>
        <w:t xml:space="preserve">В дорожной сфере, продолжить работу по участию в национальном проекте </w:t>
      </w:r>
      <w:r>
        <w:rPr>
          <w:sz w:val="32"/>
          <w:szCs w:val="32"/>
        </w:rPr>
        <w:t>«Безопасные и качественные автомобильные дороги».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сфере здравоохранения планируется начать строительство участковой больницы в селе Кугульта на 15 коек дневного пребывания и 100 посещений в смену, что позволит улучшить качество предоставляемых медицинских услуг населению.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социальной сфере выполнить благоустройство 2-ух школьных дворов, создать 4-ре школьных информационных центра, продолжить ремонт школьных спортивных залов, кровель и установку оконных блоков в детских садах, завершить ремонт ДК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Кугульта.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Органам местного самоуправления, структурным подразделениям администрации района обеспечить разработку сметной документации и формирование необходимых пакетов документов для участия в разрабатываемом национальном проекте «Устойчивое развитие сельских территорий», программ «Поддержки местных инициатив» и «Формирование комфортной городской среды».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Уважаемые участники конференции!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Наша с Вами совместная работы в текущем году будет строиться на основе реализации майских Указов Президента РФ, Послания Президента Федеральному собранию, поручений Губернатора и Правительства края.</w:t>
      </w:r>
    </w:p>
    <w:p w:rsidR="005B1F34" w:rsidRDefault="005B1F34" w:rsidP="005B1F34">
      <w:pPr>
        <w:shd w:val="clear" w:color="auto" w:fill="FFFFFF"/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Часть задач уже сформированы в национальных проектах и Госпрограммах профильных министерств, поэтому нам предстоит напряженная и кропотливая работа по их реализации!</w:t>
      </w:r>
      <w:proofErr w:type="gramEnd"/>
    </w:p>
    <w:p w:rsidR="005B1F34" w:rsidRDefault="005B1F34" w:rsidP="005B1F34">
      <w:pPr>
        <w:widowControl/>
        <w:shd w:val="clear" w:color="auto" w:fill="FFFFFF"/>
        <w:suppressAutoHyphens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E725EB" w:rsidRDefault="00E725EB">
      <w:bookmarkStart w:id="0" w:name="_GoBack"/>
      <w:bookmarkEnd w:id="0"/>
    </w:p>
    <w:sectPr w:rsidR="00E725EB">
      <w:pgSz w:w="11906" w:h="16838"/>
      <w:pgMar w:top="1134" w:right="567" w:bottom="851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ЛОМ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MS Mincho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E70"/>
    <w:multiLevelType w:val="multilevel"/>
    <w:tmpl w:val="BD32DA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DB069B"/>
    <w:multiLevelType w:val="multilevel"/>
    <w:tmpl w:val="551C8A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8B"/>
    <w:rsid w:val="005B1F34"/>
    <w:rsid w:val="00614D8B"/>
    <w:rsid w:val="00E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34"/>
    <w:pPr>
      <w:widowControl w:val="0"/>
      <w:suppressAutoHyphens/>
      <w:spacing w:after="0" w:line="240" w:lineRule="auto"/>
    </w:pPr>
    <w:rPr>
      <w:rFonts w:ascii="Times New Roman" w:eastAsia="SimSun;ЛОМе" w:hAnsi="Times New Roman" w:cs="Tahom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5B1F34"/>
    <w:pPr>
      <w:widowControl/>
      <w:numPr>
        <w:numId w:val="1"/>
      </w:numPr>
      <w:suppressAutoHyphens w:val="0"/>
      <w:spacing w:before="100" w:after="100"/>
      <w:outlineLvl w:val="0"/>
    </w:pPr>
    <w:rPr>
      <w:rFonts w:eastAsia="Calibri" w:cs="Times New Roman"/>
      <w:b/>
      <w:bCs/>
      <w:sz w:val="48"/>
      <w:szCs w:val="4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F34"/>
    <w:rPr>
      <w:rFonts w:ascii="Times New Roman" w:eastAsia="Calibri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4"/>
    <w:rsid w:val="005B1F34"/>
    <w:pPr>
      <w:spacing w:after="120"/>
    </w:pPr>
  </w:style>
  <w:style w:type="character" w:customStyle="1" w:styleId="a4">
    <w:name w:val="Основной текст Знак"/>
    <w:basedOn w:val="a1"/>
    <w:link w:val="a0"/>
    <w:rsid w:val="005B1F34"/>
    <w:rPr>
      <w:rFonts w:ascii="Times New Roman" w:eastAsia="SimSun;ЛОМе" w:hAnsi="Times New Roman" w:cs="Tahoma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5B1F34"/>
    <w:pPr>
      <w:widowControl w:val="0"/>
      <w:suppressAutoHyphens/>
      <w:spacing w:after="0" w:line="240" w:lineRule="auto"/>
    </w:pPr>
    <w:rPr>
      <w:rFonts w:ascii="Times New Roman" w:eastAsia="Andale Sans UI;MS Mincho" w:hAnsi="Times New Roman" w:cs="Tahoma"/>
      <w:color w:val="00000A"/>
      <w:sz w:val="24"/>
      <w:szCs w:val="24"/>
      <w:lang w:val="de-DE" w:eastAsia="ja-JP" w:bidi="fa-IR"/>
    </w:rPr>
  </w:style>
  <w:style w:type="paragraph" w:styleId="a5">
    <w:name w:val="No Spacing"/>
    <w:qFormat/>
    <w:rsid w:val="005B1F34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qFormat/>
    <w:rsid w:val="005B1F3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34"/>
    <w:pPr>
      <w:widowControl w:val="0"/>
      <w:suppressAutoHyphens/>
      <w:spacing w:after="0" w:line="240" w:lineRule="auto"/>
    </w:pPr>
    <w:rPr>
      <w:rFonts w:ascii="Times New Roman" w:eastAsia="SimSun;ЛОМе" w:hAnsi="Times New Roman" w:cs="Tahom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5B1F34"/>
    <w:pPr>
      <w:widowControl/>
      <w:numPr>
        <w:numId w:val="1"/>
      </w:numPr>
      <w:suppressAutoHyphens w:val="0"/>
      <w:spacing w:before="100" w:after="100"/>
      <w:outlineLvl w:val="0"/>
    </w:pPr>
    <w:rPr>
      <w:rFonts w:eastAsia="Calibri" w:cs="Times New Roman"/>
      <w:b/>
      <w:bCs/>
      <w:sz w:val="48"/>
      <w:szCs w:val="4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F34"/>
    <w:rPr>
      <w:rFonts w:ascii="Times New Roman" w:eastAsia="Calibri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4"/>
    <w:rsid w:val="005B1F34"/>
    <w:pPr>
      <w:spacing w:after="120"/>
    </w:pPr>
  </w:style>
  <w:style w:type="character" w:customStyle="1" w:styleId="a4">
    <w:name w:val="Основной текст Знак"/>
    <w:basedOn w:val="a1"/>
    <w:link w:val="a0"/>
    <w:rsid w:val="005B1F34"/>
    <w:rPr>
      <w:rFonts w:ascii="Times New Roman" w:eastAsia="SimSun;ЛОМе" w:hAnsi="Times New Roman" w:cs="Tahoma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5B1F34"/>
    <w:pPr>
      <w:widowControl w:val="0"/>
      <w:suppressAutoHyphens/>
      <w:spacing w:after="0" w:line="240" w:lineRule="auto"/>
    </w:pPr>
    <w:rPr>
      <w:rFonts w:ascii="Times New Roman" w:eastAsia="Andale Sans UI;MS Mincho" w:hAnsi="Times New Roman" w:cs="Tahoma"/>
      <w:color w:val="00000A"/>
      <w:sz w:val="24"/>
      <w:szCs w:val="24"/>
      <w:lang w:val="de-DE" w:eastAsia="ja-JP" w:bidi="fa-IR"/>
    </w:rPr>
  </w:style>
  <w:style w:type="paragraph" w:styleId="a5">
    <w:name w:val="No Spacing"/>
    <w:qFormat/>
    <w:rsid w:val="005B1F34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qFormat/>
    <w:rsid w:val="005B1F3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3368</Words>
  <Characters>19204</Characters>
  <Application>Microsoft Office Word</Application>
  <DocSecurity>0</DocSecurity>
  <Lines>160</Lines>
  <Paragraphs>45</Paragraphs>
  <ScaleCrop>false</ScaleCrop>
  <Company/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2019-04-23T13:59:00Z</dcterms:created>
  <dcterms:modified xsi:type="dcterms:W3CDTF">2019-04-23T14:00:00Z</dcterms:modified>
</cp:coreProperties>
</file>