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7" w:rsidRPr="004F6FA3" w:rsidRDefault="00FF3D17" w:rsidP="004F6F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Приложение</w:t>
      </w:r>
      <w:r w:rsidR="00F53F2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3D17" w:rsidRPr="004F6FA3" w:rsidRDefault="00F53F2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F02" w:rsidRPr="004F6FA3" w:rsidRDefault="00585F02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585F02" w:rsidRPr="004F6FA3" w:rsidRDefault="00585F02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3D17" w:rsidRDefault="00FF3D1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53F27" w:rsidRPr="004F6FA3" w:rsidRDefault="00367D78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2017 г. №630</w:t>
      </w:r>
    </w:p>
    <w:p w:rsidR="00501217" w:rsidRDefault="0050121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1217" w:rsidRDefault="0050121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Проект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4F6FA3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FF3D17" w:rsidRPr="004F6FA3" w:rsidRDefault="00585F02" w:rsidP="004F6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 НА ПЕРИОД ДО 202</w:t>
      </w:r>
      <w:r w:rsidR="00BE0F12">
        <w:rPr>
          <w:rFonts w:ascii="Times New Roman" w:hAnsi="Times New Roman" w:cs="Times New Roman"/>
          <w:sz w:val="28"/>
          <w:szCs w:val="28"/>
        </w:rPr>
        <w:t>4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 xml:space="preserve">    Бюджетный  прогноз </w:t>
      </w:r>
      <w:r w:rsidR="00585F02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4F6FA3">
        <w:rPr>
          <w:rFonts w:ascii="Times New Roman" w:hAnsi="Times New Roman" w:cs="Times New Roman"/>
          <w:sz w:val="28"/>
          <w:szCs w:val="28"/>
        </w:rPr>
        <w:t>Ставропольского края на период до 202</w:t>
      </w:r>
      <w:r w:rsidR="00BE0F12">
        <w:rPr>
          <w:rFonts w:ascii="Times New Roman" w:hAnsi="Times New Roman" w:cs="Times New Roman"/>
          <w:sz w:val="28"/>
          <w:szCs w:val="28"/>
        </w:rPr>
        <w:t>4</w:t>
      </w:r>
      <w:r w:rsidRPr="004F6FA3">
        <w:rPr>
          <w:rFonts w:ascii="Times New Roman" w:hAnsi="Times New Roman" w:cs="Times New Roman"/>
          <w:sz w:val="28"/>
          <w:szCs w:val="28"/>
        </w:rPr>
        <w:t xml:space="preserve"> года (далее -бюджетный  прогноз)  разработан  в  соответствии со </w:t>
      </w:r>
      <w:hyperlink r:id="rId7" w:history="1">
        <w:r w:rsidRPr="004F6FA3">
          <w:rPr>
            <w:rFonts w:ascii="Times New Roman" w:hAnsi="Times New Roman" w:cs="Times New Roman"/>
            <w:color w:val="0000FF"/>
            <w:sz w:val="28"/>
            <w:szCs w:val="28"/>
          </w:rPr>
          <w:t>статьей 170</w:t>
        </w:r>
      </w:hyperlink>
      <w:r w:rsidR="00C62B60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Pr="004F6FA3">
        <w:rPr>
          <w:rFonts w:ascii="Times New Roman" w:hAnsi="Times New Roman" w:cs="Times New Roman"/>
          <w:sz w:val="28"/>
          <w:szCs w:val="28"/>
        </w:rPr>
        <w:t xml:space="preserve">  Бюджетного</w:t>
      </w:r>
      <w:r w:rsidR="00585F02"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Pr="004F6FA3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 </w:t>
      </w:r>
      <w:hyperlink r:id="rId8" w:history="1">
        <w:r w:rsidRPr="004F6FA3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 </w:t>
        </w:r>
      </w:hyperlink>
      <w:r w:rsidR="00C07AE9" w:rsidRPr="004F6FA3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C62B60">
        <w:rPr>
          <w:rFonts w:ascii="Times New Roman" w:hAnsi="Times New Roman" w:cs="Times New Roman"/>
          <w:sz w:val="28"/>
          <w:szCs w:val="28"/>
        </w:rPr>
        <w:t>в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 Грачевском муниципальном районе Ста</w:t>
      </w:r>
      <w:bookmarkStart w:id="1" w:name="_GoBack"/>
      <w:bookmarkEnd w:id="1"/>
      <w:r w:rsidR="00C07AE9" w:rsidRPr="004F6FA3">
        <w:rPr>
          <w:rFonts w:ascii="Times New Roman" w:hAnsi="Times New Roman" w:cs="Times New Roman"/>
          <w:sz w:val="28"/>
          <w:szCs w:val="28"/>
        </w:rPr>
        <w:t>вропольского края</w:t>
      </w:r>
      <w:r w:rsidRPr="004F6FA3">
        <w:rPr>
          <w:rFonts w:ascii="Times New Roman" w:hAnsi="Times New Roman" w:cs="Times New Roman"/>
          <w:sz w:val="28"/>
          <w:szCs w:val="28"/>
        </w:rPr>
        <w:t xml:space="preserve">,   </w:t>
      </w:r>
      <w:r w:rsidR="00C07AE9" w:rsidRPr="004F6FA3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2606EA"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4F6FA3">
        <w:rPr>
          <w:rFonts w:ascii="Times New Roman" w:hAnsi="Times New Roman" w:cs="Times New Roman"/>
          <w:sz w:val="28"/>
          <w:szCs w:val="28"/>
        </w:rPr>
        <w:t>Ставропольского   края  "Управление  финансами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</w:t>
      </w:r>
      <w:r w:rsidRPr="004F6FA3">
        <w:rPr>
          <w:rFonts w:ascii="Times New Roman" w:hAnsi="Times New Roman" w:cs="Times New Roman"/>
          <w:sz w:val="28"/>
          <w:szCs w:val="28"/>
        </w:rPr>
        <w:t>",  утвержденной</w:t>
      </w:r>
      <w:r w:rsidR="00585F02"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Pr="004F6FA3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C07AE9" w:rsidRPr="004F6FA3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</w:t>
      </w:r>
      <w:r w:rsidRPr="004F6FA3">
        <w:rPr>
          <w:rFonts w:ascii="Times New Roman" w:hAnsi="Times New Roman" w:cs="Times New Roman"/>
          <w:sz w:val="28"/>
          <w:szCs w:val="28"/>
        </w:rPr>
        <w:t xml:space="preserve"> Ставропольского  края  от </w:t>
      </w:r>
      <w:r w:rsidR="00C07AE9" w:rsidRPr="004F6FA3">
        <w:rPr>
          <w:rFonts w:ascii="Times New Roman" w:hAnsi="Times New Roman" w:cs="Times New Roman"/>
          <w:sz w:val="28"/>
          <w:szCs w:val="28"/>
        </w:rPr>
        <w:t>30</w:t>
      </w:r>
      <w:r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4F6FA3">
        <w:rPr>
          <w:rFonts w:ascii="Times New Roman" w:hAnsi="Times New Roman" w:cs="Times New Roman"/>
          <w:sz w:val="28"/>
          <w:szCs w:val="28"/>
        </w:rPr>
        <w:t>октября</w:t>
      </w:r>
      <w:r w:rsidRPr="004F6FA3">
        <w:rPr>
          <w:rFonts w:ascii="Times New Roman" w:hAnsi="Times New Roman" w:cs="Times New Roman"/>
          <w:sz w:val="28"/>
          <w:szCs w:val="28"/>
        </w:rPr>
        <w:t xml:space="preserve"> 201</w:t>
      </w:r>
      <w:r w:rsidR="00C07AE9" w:rsidRPr="004F6FA3">
        <w:rPr>
          <w:rFonts w:ascii="Times New Roman" w:hAnsi="Times New Roman" w:cs="Times New Roman"/>
          <w:sz w:val="28"/>
          <w:szCs w:val="28"/>
        </w:rPr>
        <w:t>3</w:t>
      </w:r>
      <w:r w:rsidRPr="004F6FA3">
        <w:rPr>
          <w:rFonts w:ascii="Times New Roman" w:hAnsi="Times New Roman" w:cs="Times New Roman"/>
          <w:sz w:val="28"/>
          <w:szCs w:val="28"/>
        </w:rPr>
        <w:t xml:space="preserve"> г.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 N785</w:t>
      </w:r>
      <w:r w:rsidR="002606EA" w:rsidRPr="004F6FA3">
        <w:rPr>
          <w:rFonts w:ascii="Times New Roman" w:hAnsi="Times New Roman" w:cs="Times New Roman"/>
          <w:sz w:val="28"/>
          <w:szCs w:val="28"/>
        </w:rPr>
        <w:t xml:space="preserve"> и</w:t>
      </w:r>
      <w:r w:rsidRPr="004F6F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F6FA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F6FA3">
        <w:rPr>
          <w:rFonts w:ascii="Times New Roman" w:hAnsi="Times New Roman" w:cs="Times New Roman"/>
          <w:sz w:val="28"/>
          <w:szCs w:val="28"/>
        </w:rPr>
        <w:t xml:space="preserve">   разработки  и  утверждения  бюджетного прогноза</w:t>
      </w:r>
      <w:r w:rsidR="00585F02"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4F6FA3">
        <w:rPr>
          <w:rFonts w:ascii="Times New Roman" w:hAnsi="Times New Roman" w:cs="Times New Roman"/>
          <w:sz w:val="28"/>
          <w:szCs w:val="28"/>
        </w:rPr>
        <w:t>Ставропольского  края  на  долгосрочный период, утвержденным постановлением</w:t>
      </w:r>
      <w:r w:rsidR="00585F02" w:rsidRPr="004F6FA3">
        <w:rPr>
          <w:rFonts w:ascii="Times New Roman" w:hAnsi="Times New Roman" w:cs="Times New Roman"/>
          <w:sz w:val="28"/>
          <w:szCs w:val="28"/>
        </w:rPr>
        <w:t xml:space="preserve"> </w:t>
      </w:r>
      <w:r w:rsidR="00C07AE9" w:rsidRPr="004F6FA3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</w:t>
      </w:r>
      <w:r w:rsidRPr="004F6FA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2606EA" w:rsidRPr="004F6FA3">
        <w:rPr>
          <w:rFonts w:ascii="Times New Roman" w:hAnsi="Times New Roman" w:cs="Times New Roman"/>
          <w:sz w:val="28"/>
          <w:szCs w:val="28"/>
        </w:rPr>
        <w:t>08 сентября</w:t>
      </w:r>
      <w:r w:rsidRPr="004F6FA3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2606EA" w:rsidRPr="004F6FA3">
        <w:rPr>
          <w:rFonts w:ascii="Times New Roman" w:hAnsi="Times New Roman" w:cs="Times New Roman"/>
          <w:sz w:val="28"/>
          <w:szCs w:val="28"/>
        </w:rPr>
        <w:t>517.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559" w:rsidRPr="004F6FA3" w:rsidRDefault="00BF2559" w:rsidP="004F6F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Целью бюджетного прогноза в Грачевском  муниципальном района Ставропольского края является обеспечение предсказуемости динамики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доходов и расходов консолидированного бюджета Грачевского муниципального района Ставропольского края и бюджета Грачевского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Ставропольского края, что позволяет оценивать долгосрочные тенденции изменений объема доходов и расходов, а также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вырабатывать на их основе соответствующие меры, направленные на повышение устойчивости и эффективности функционирования бюджетной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Pr="004F6FA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системы Грачевского муниципального района Ставропольского края</w:t>
      </w:r>
      <w:r w:rsidRPr="004F6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559" w:rsidRPr="004F6FA3" w:rsidRDefault="00BF2559" w:rsidP="004F6FA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II. Основные итоги развития бюджетной системы</w:t>
      </w:r>
      <w:r w:rsidR="002606EA" w:rsidRPr="004F6F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Ставропольского края, условия формирования</w:t>
      </w: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lastRenderedPageBreak/>
        <w:t>бюджетного прогноза в текущем финансовом году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7E6" w:rsidRPr="004F6FA3" w:rsidRDefault="00EB57E6" w:rsidP="004F6FA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рост производства промышленной продукции, потребительских товаров и продукции сельскохозяйственного производства позволял увеличивать налоговый потенциал Грачевского района Став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края. За период 2014- 2016</w:t>
      </w:r>
      <w:r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налоговым и неналоговым доходам отмечается ежегодная положительная динамика поступлений. В общей структуре налоговых и неналоговых доходов консолидированного бюджета Грачевского муниципального района Ставропольского края зна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чительный удельный вес (более 50</w:t>
      </w:r>
      <w:r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 занимает налог на доходы физических лиц.</w:t>
      </w:r>
    </w:p>
    <w:p w:rsidR="004D6702" w:rsidRPr="00227D8D" w:rsidRDefault="00227D8D" w:rsidP="004F6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2014 - 2016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годах расходы консолидированного бюджета </w:t>
      </w:r>
      <w:r w:rsidR="004D6702" w:rsidRPr="004F6FA3">
        <w:rPr>
          <w:rFonts w:ascii="Times New Roman" w:hAnsi="Times New Roman" w:cs="Times New Roman"/>
          <w:sz w:val="28"/>
          <w:szCs w:val="28"/>
        </w:rPr>
        <w:t>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были направлены, прежде всего, на реализацию приоритетных направлений государственной политики в социальной сфере, сформулированных в указах Президента Российской Федерации от 7 мая 2012 года, и безусловное финансовое обеспечение законодательно установленных обязательств по социальным выплатам отдельным категориям населения </w:t>
      </w:r>
      <w:r w:rsidR="004D6702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Ставропольского края, что привело к значительному изменению структуры расходов консолидированного бюджета </w:t>
      </w:r>
      <w:r w:rsidR="004D6702" w:rsidRPr="004F6FA3">
        <w:rPr>
          <w:rFonts w:ascii="Times New Roman" w:hAnsi="Times New Roman" w:cs="Times New Roman"/>
          <w:sz w:val="28"/>
          <w:szCs w:val="28"/>
        </w:rPr>
        <w:t>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. Доля расходов консолидированного бюджета </w:t>
      </w:r>
      <w:r w:rsidR="004D6702" w:rsidRPr="004F6FA3">
        <w:rPr>
          <w:rFonts w:ascii="Times New Roman" w:hAnsi="Times New Roman" w:cs="Times New Roman"/>
          <w:sz w:val="28"/>
          <w:szCs w:val="28"/>
        </w:rPr>
        <w:t>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на финансирование отраслей социальной сферы </w:t>
      </w:r>
      <w:r w:rsidR="00366884" w:rsidRPr="004F6FA3">
        <w:rPr>
          <w:rFonts w:ascii="Times New Roman" w:hAnsi="Times New Roman" w:cs="Times New Roman"/>
          <w:sz w:val="28"/>
          <w:szCs w:val="28"/>
        </w:rPr>
        <w:t xml:space="preserve">(без учета инвестиций) </w:t>
      </w:r>
      <w:r>
        <w:rPr>
          <w:rFonts w:ascii="Times New Roman" w:hAnsi="Times New Roman" w:cs="Times New Roman"/>
          <w:sz w:val="28"/>
          <w:szCs w:val="28"/>
        </w:rPr>
        <w:t>в 2014 - 2016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годах составляла </w:t>
      </w:r>
      <w:r w:rsidR="009C2CC2" w:rsidRPr="002472F6">
        <w:rPr>
          <w:rFonts w:ascii="Times New Roman" w:hAnsi="Times New Roman" w:cs="Times New Roman"/>
          <w:sz w:val="28"/>
          <w:szCs w:val="28"/>
        </w:rPr>
        <w:t>201</w:t>
      </w:r>
      <w:r w:rsidR="002472F6" w:rsidRPr="002472F6">
        <w:rPr>
          <w:rFonts w:ascii="Times New Roman" w:hAnsi="Times New Roman" w:cs="Times New Roman"/>
          <w:sz w:val="28"/>
          <w:szCs w:val="28"/>
        </w:rPr>
        <w:t>4</w:t>
      </w:r>
      <w:r w:rsidR="009C2CC2" w:rsidRPr="002472F6">
        <w:rPr>
          <w:rFonts w:ascii="Times New Roman" w:hAnsi="Times New Roman" w:cs="Times New Roman"/>
          <w:sz w:val="28"/>
          <w:szCs w:val="28"/>
        </w:rPr>
        <w:t>г.-</w:t>
      </w:r>
      <w:r w:rsidR="00FF3D17" w:rsidRPr="002472F6">
        <w:rPr>
          <w:rFonts w:ascii="Times New Roman" w:hAnsi="Times New Roman" w:cs="Times New Roman"/>
          <w:sz w:val="28"/>
          <w:szCs w:val="28"/>
        </w:rPr>
        <w:t xml:space="preserve"> </w:t>
      </w:r>
      <w:r w:rsidR="002472F6" w:rsidRPr="002472F6">
        <w:rPr>
          <w:rFonts w:ascii="Times New Roman" w:hAnsi="Times New Roman" w:cs="Times New Roman"/>
          <w:sz w:val="28"/>
          <w:szCs w:val="28"/>
        </w:rPr>
        <w:t>80</w:t>
      </w:r>
      <w:r w:rsidR="004D6702" w:rsidRPr="002472F6">
        <w:rPr>
          <w:rFonts w:ascii="Times New Roman" w:hAnsi="Times New Roman" w:cs="Times New Roman"/>
          <w:sz w:val="28"/>
          <w:szCs w:val="28"/>
        </w:rPr>
        <w:t>,</w:t>
      </w:r>
      <w:r w:rsidR="002472F6" w:rsidRPr="002472F6">
        <w:rPr>
          <w:rFonts w:ascii="Times New Roman" w:hAnsi="Times New Roman" w:cs="Times New Roman"/>
          <w:sz w:val="28"/>
          <w:szCs w:val="28"/>
        </w:rPr>
        <w:t>5</w:t>
      </w:r>
      <w:r w:rsidR="009C2CC2" w:rsidRPr="002472F6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2472F6" w:rsidRPr="002472F6">
        <w:rPr>
          <w:rFonts w:ascii="Times New Roman" w:hAnsi="Times New Roman" w:cs="Times New Roman"/>
          <w:sz w:val="28"/>
          <w:szCs w:val="28"/>
        </w:rPr>
        <w:t>5</w:t>
      </w:r>
      <w:r w:rsidR="009C2CC2" w:rsidRPr="002472F6">
        <w:rPr>
          <w:rFonts w:ascii="Times New Roman" w:hAnsi="Times New Roman" w:cs="Times New Roman"/>
          <w:sz w:val="28"/>
          <w:szCs w:val="28"/>
        </w:rPr>
        <w:t>г.</w:t>
      </w:r>
      <w:r w:rsidR="00FF3D17" w:rsidRPr="002472F6">
        <w:rPr>
          <w:rFonts w:ascii="Times New Roman" w:hAnsi="Times New Roman" w:cs="Times New Roman"/>
          <w:sz w:val="28"/>
          <w:szCs w:val="28"/>
        </w:rPr>
        <w:t xml:space="preserve"> </w:t>
      </w:r>
      <w:r w:rsidR="009C2CC2" w:rsidRPr="002472F6">
        <w:rPr>
          <w:rFonts w:ascii="Times New Roman" w:hAnsi="Times New Roman" w:cs="Times New Roman"/>
          <w:sz w:val="28"/>
          <w:szCs w:val="28"/>
        </w:rPr>
        <w:t xml:space="preserve">– </w:t>
      </w:r>
      <w:r w:rsidR="009A6D86" w:rsidRPr="002472F6">
        <w:rPr>
          <w:rFonts w:ascii="Times New Roman" w:hAnsi="Times New Roman" w:cs="Times New Roman"/>
          <w:sz w:val="28"/>
          <w:szCs w:val="28"/>
        </w:rPr>
        <w:t>7</w:t>
      </w:r>
      <w:r w:rsidR="002472F6" w:rsidRPr="002472F6">
        <w:rPr>
          <w:rFonts w:ascii="Times New Roman" w:hAnsi="Times New Roman" w:cs="Times New Roman"/>
          <w:sz w:val="28"/>
          <w:szCs w:val="28"/>
        </w:rPr>
        <w:t>8</w:t>
      </w:r>
      <w:r w:rsidR="009A6D86" w:rsidRPr="002472F6">
        <w:rPr>
          <w:rFonts w:ascii="Times New Roman" w:hAnsi="Times New Roman" w:cs="Times New Roman"/>
          <w:sz w:val="28"/>
          <w:szCs w:val="28"/>
        </w:rPr>
        <w:t>,</w:t>
      </w:r>
      <w:r w:rsidR="002472F6" w:rsidRPr="002472F6">
        <w:rPr>
          <w:rFonts w:ascii="Times New Roman" w:hAnsi="Times New Roman" w:cs="Times New Roman"/>
          <w:sz w:val="28"/>
          <w:szCs w:val="28"/>
        </w:rPr>
        <w:t>8</w:t>
      </w:r>
      <w:r w:rsidR="009C2CC2" w:rsidRPr="002472F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472F6" w:rsidRPr="002472F6">
        <w:rPr>
          <w:rFonts w:ascii="Times New Roman" w:hAnsi="Times New Roman" w:cs="Times New Roman"/>
          <w:sz w:val="28"/>
          <w:szCs w:val="28"/>
        </w:rPr>
        <w:t>ов</w:t>
      </w:r>
      <w:r w:rsidR="009C2CC2" w:rsidRPr="002472F6">
        <w:rPr>
          <w:rFonts w:ascii="Times New Roman" w:hAnsi="Times New Roman" w:cs="Times New Roman"/>
          <w:sz w:val="28"/>
          <w:szCs w:val="28"/>
        </w:rPr>
        <w:t>, 201</w:t>
      </w:r>
      <w:r w:rsidR="002472F6" w:rsidRPr="002472F6">
        <w:rPr>
          <w:rFonts w:ascii="Times New Roman" w:hAnsi="Times New Roman" w:cs="Times New Roman"/>
          <w:sz w:val="28"/>
          <w:szCs w:val="28"/>
        </w:rPr>
        <w:t>6</w:t>
      </w:r>
      <w:r w:rsidR="00BE0F12">
        <w:rPr>
          <w:rFonts w:ascii="Times New Roman" w:hAnsi="Times New Roman" w:cs="Times New Roman"/>
          <w:sz w:val="28"/>
          <w:szCs w:val="28"/>
        </w:rPr>
        <w:t xml:space="preserve"> </w:t>
      </w:r>
      <w:r w:rsidR="009C2CC2" w:rsidRPr="002472F6">
        <w:rPr>
          <w:rFonts w:ascii="Times New Roman" w:hAnsi="Times New Roman" w:cs="Times New Roman"/>
          <w:sz w:val="28"/>
          <w:szCs w:val="28"/>
        </w:rPr>
        <w:t>г.-</w:t>
      </w:r>
      <w:r w:rsidR="00FF3D17" w:rsidRPr="002472F6">
        <w:rPr>
          <w:rFonts w:ascii="Times New Roman" w:hAnsi="Times New Roman" w:cs="Times New Roman"/>
          <w:sz w:val="28"/>
          <w:szCs w:val="28"/>
        </w:rPr>
        <w:t xml:space="preserve"> </w:t>
      </w:r>
      <w:r w:rsidR="009A6D86" w:rsidRPr="002472F6">
        <w:rPr>
          <w:rFonts w:ascii="Times New Roman" w:hAnsi="Times New Roman" w:cs="Times New Roman"/>
          <w:sz w:val="28"/>
          <w:szCs w:val="28"/>
        </w:rPr>
        <w:t>7</w:t>
      </w:r>
      <w:r w:rsidR="002472F6" w:rsidRPr="002472F6">
        <w:rPr>
          <w:rFonts w:ascii="Times New Roman" w:hAnsi="Times New Roman" w:cs="Times New Roman"/>
          <w:sz w:val="28"/>
          <w:szCs w:val="28"/>
        </w:rPr>
        <w:t>9</w:t>
      </w:r>
      <w:r w:rsidR="009A6D86" w:rsidRPr="002472F6">
        <w:rPr>
          <w:rFonts w:ascii="Times New Roman" w:hAnsi="Times New Roman" w:cs="Times New Roman"/>
          <w:sz w:val="28"/>
          <w:szCs w:val="28"/>
        </w:rPr>
        <w:t>,</w:t>
      </w:r>
      <w:r w:rsidR="002472F6" w:rsidRPr="002472F6">
        <w:rPr>
          <w:rFonts w:ascii="Times New Roman" w:hAnsi="Times New Roman" w:cs="Times New Roman"/>
          <w:sz w:val="28"/>
          <w:szCs w:val="28"/>
        </w:rPr>
        <w:t>0</w:t>
      </w:r>
      <w:r w:rsidR="009C2CC2" w:rsidRPr="002472F6">
        <w:rPr>
          <w:rFonts w:ascii="Times New Roman" w:hAnsi="Times New Roman" w:cs="Times New Roman"/>
          <w:sz w:val="28"/>
          <w:szCs w:val="28"/>
        </w:rPr>
        <w:t xml:space="preserve"> </w:t>
      </w:r>
      <w:r w:rsidR="00FF3D17" w:rsidRPr="002472F6">
        <w:rPr>
          <w:rFonts w:ascii="Times New Roman" w:hAnsi="Times New Roman" w:cs="Times New Roman"/>
          <w:sz w:val="28"/>
          <w:szCs w:val="28"/>
        </w:rPr>
        <w:t>процент</w:t>
      </w:r>
      <w:r w:rsidR="002472F6" w:rsidRPr="002472F6">
        <w:rPr>
          <w:rFonts w:ascii="Times New Roman" w:hAnsi="Times New Roman" w:cs="Times New Roman"/>
          <w:sz w:val="28"/>
          <w:szCs w:val="28"/>
        </w:rPr>
        <w:t>ов</w:t>
      </w:r>
      <w:r w:rsidR="00FF3D17" w:rsidRPr="00247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D17" w:rsidRPr="004F6FA3" w:rsidRDefault="00FF3D17" w:rsidP="004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59" w:history="1">
        <w:r w:rsidRPr="00E328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параметры</w:t>
        </w:r>
      </w:hyperlink>
      <w:r w:rsidRPr="004F6FA3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="004E10F3" w:rsidRPr="004F6FA3">
        <w:rPr>
          <w:rFonts w:ascii="Times New Roman" w:hAnsi="Times New Roman" w:cs="Times New Roman"/>
          <w:sz w:val="28"/>
          <w:szCs w:val="28"/>
        </w:rPr>
        <w:t>района</w:t>
      </w:r>
      <w:r w:rsidRPr="004F6FA3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4E10F3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4F6FA3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</w:t>
      </w:r>
      <w:r w:rsidR="004E10F3" w:rsidRPr="004F6FA3">
        <w:rPr>
          <w:rFonts w:ascii="Times New Roman" w:hAnsi="Times New Roman" w:cs="Times New Roman"/>
          <w:sz w:val="28"/>
          <w:szCs w:val="28"/>
        </w:rPr>
        <w:t>районный</w:t>
      </w:r>
      <w:r w:rsidR="00227D8D">
        <w:rPr>
          <w:rFonts w:ascii="Times New Roman" w:hAnsi="Times New Roman" w:cs="Times New Roman"/>
          <w:sz w:val="28"/>
          <w:szCs w:val="28"/>
        </w:rPr>
        <w:t xml:space="preserve"> бюджет) за период 2014</w:t>
      </w:r>
      <w:r w:rsidRPr="004F6FA3">
        <w:rPr>
          <w:rFonts w:ascii="Times New Roman" w:hAnsi="Times New Roman" w:cs="Times New Roman"/>
          <w:sz w:val="28"/>
          <w:szCs w:val="28"/>
        </w:rPr>
        <w:t xml:space="preserve"> - 201</w:t>
      </w:r>
      <w:r w:rsidR="00227D8D">
        <w:rPr>
          <w:rFonts w:ascii="Times New Roman" w:hAnsi="Times New Roman" w:cs="Times New Roman"/>
          <w:sz w:val="28"/>
          <w:szCs w:val="28"/>
        </w:rPr>
        <w:t>6</w:t>
      </w:r>
      <w:r w:rsidRPr="004F6FA3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Таблица 1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4F6FA3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4E10F3" w:rsidRPr="004F6F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F6FA3">
        <w:rPr>
          <w:rFonts w:ascii="Times New Roman" w:hAnsi="Times New Roman" w:cs="Times New Roman"/>
          <w:sz w:val="28"/>
          <w:szCs w:val="28"/>
        </w:rPr>
        <w:t xml:space="preserve"> и </w:t>
      </w:r>
      <w:r w:rsidR="004E10F3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Pr="004F6FA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F3D17" w:rsidRPr="004F6FA3" w:rsidRDefault="00227D8D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2014 - 2016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(</w:t>
      </w:r>
      <w:r w:rsidR="004E10F3" w:rsidRPr="004F6FA3">
        <w:rPr>
          <w:rFonts w:ascii="Times New Roman" w:hAnsi="Times New Roman" w:cs="Times New Roman"/>
          <w:sz w:val="28"/>
          <w:szCs w:val="28"/>
        </w:rPr>
        <w:t>млн.</w:t>
      </w:r>
      <w:r w:rsidRPr="004F6FA3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433" w:type="dxa"/>
        <w:tblInd w:w="-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77"/>
        <w:gridCol w:w="1046"/>
        <w:gridCol w:w="1077"/>
        <w:gridCol w:w="989"/>
        <w:gridCol w:w="1123"/>
        <w:gridCol w:w="1400"/>
      </w:tblGrid>
      <w:tr w:rsidR="00FF3D17" w:rsidRPr="004F6FA3" w:rsidTr="005179D8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17" w:rsidRPr="004F6FA3" w:rsidRDefault="00FF3D1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17" w:rsidRPr="004F6FA3" w:rsidRDefault="00227D8D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F3D17" w:rsidRPr="004F6F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17" w:rsidRPr="004F6FA3" w:rsidRDefault="00227D8D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F3D17" w:rsidRPr="004F6F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17" w:rsidRPr="004F6FA3" w:rsidRDefault="00227D8D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F3D17" w:rsidRPr="004F6F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E10F3" w:rsidRPr="004F6FA3" w:rsidTr="005179D8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0F3" w:rsidRPr="004F6FA3" w:rsidRDefault="004E10F3" w:rsidP="004F6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района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района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районный  бюджет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0F3" w:rsidRPr="004F6FA3" w:rsidRDefault="004E10F3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районный  бюджет</w:t>
            </w:r>
          </w:p>
        </w:tc>
      </w:tr>
      <w:tr w:rsidR="00E706E7" w:rsidRPr="004F6FA3" w:rsidTr="00517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E706E7" w:rsidP="00DE1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E706E7" w:rsidP="00DE1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E706E7" w:rsidRPr="004F6FA3" w:rsidTr="00517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9A3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716,5</w:t>
            </w:r>
          </w:p>
        </w:tc>
      </w:tr>
      <w:tr w:rsidR="00E706E7" w:rsidRPr="004F6FA3" w:rsidTr="00517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DE1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-28,1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DE1DA4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E706E7" w:rsidRPr="004F6FA3" w:rsidTr="00517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9A3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706E7" w:rsidRPr="004F6FA3" w:rsidRDefault="00E706E7" w:rsidP="004F6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1B6" w:rsidRPr="004F6FA3" w:rsidRDefault="00214C3F" w:rsidP="0021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бюджета Грачевского муниципального рай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Ставропольского края за 2014-2016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показывает, что высокие темпы роста объема доходов  бюджета Грачевс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(2014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6,25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201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 – 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102,61</w:t>
      </w:r>
      <w:r w:rsidR="002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2016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103,86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 по сравнению с темпами роста расходов  бюджета Грачевс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(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 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105,85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2015 год – 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102,57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DB6A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год- 99,78 процента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обусловлены исполнением бюджета Грачевского муниципального района не в полном объеме и утверждением и исполнением дефицита  бюджета Грачевского муниципального района в объеме, </w:t>
      </w:r>
      <w:r w:rsidR="000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превышающего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</w:t>
      </w:r>
      <w:r w:rsidR="000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 w:rsidR="000D3A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1B6" w:rsidRPr="004F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По итогам исполнения </w:t>
      </w:r>
      <w:r w:rsidR="00227D8D">
        <w:rPr>
          <w:rFonts w:ascii="Times New Roman" w:hAnsi="Times New Roman" w:cs="Times New Roman"/>
          <w:sz w:val="28"/>
          <w:szCs w:val="28"/>
        </w:rPr>
        <w:t>за 2014-2016</w:t>
      </w:r>
      <w:r w:rsidR="00B9508E" w:rsidRPr="004F6FA3">
        <w:rPr>
          <w:rFonts w:ascii="Times New Roman" w:hAnsi="Times New Roman" w:cs="Times New Roman"/>
          <w:sz w:val="28"/>
          <w:szCs w:val="28"/>
        </w:rPr>
        <w:t xml:space="preserve"> годы консолидированный бюджет 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 </w:t>
      </w:r>
      <w:r w:rsidR="00B9508E" w:rsidRPr="004F6FA3">
        <w:rPr>
          <w:rFonts w:ascii="Times New Roman" w:hAnsi="Times New Roman" w:cs="Times New Roman"/>
          <w:sz w:val="28"/>
          <w:szCs w:val="28"/>
        </w:rPr>
        <w:t>долговых обязательств не имеет</w:t>
      </w:r>
      <w:r w:rsidR="00FF3D17" w:rsidRPr="004F6FA3">
        <w:rPr>
          <w:rFonts w:ascii="Times New Roman" w:hAnsi="Times New Roman" w:cs="Times New Roman"/>
          <w:sz w:val="28"/>
          <w:szCs w:val="28"/>
        </w:rPr>
        <w:t>.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III. Цели, задачи реализации бюджетной политики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Ставропольского края и долговой политики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</w:p>
    <w:p w:rsidR="00FF3D17" w:rsidRPr="004F6FA3" w:rsidRDefault="00FF3D17" w:rsidP="004F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214C3F" w:rsidP="00214C3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Цели и задачи реализации бюджетной политики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Ставропольского края на долгосрочный период определены </w:t>
      </w:r>
      <w:r w:rsidR="004E3EE4" w:rsidRPr="004F6FA3">
        <w:rPr>
          <w:rFonts w:ascii="Times New Roman" w:hAnsi="Times New Roman" w:cs="Times New Roman"/>
          <w:sz w:val="28"/>
          <w:szCs w:val="28"/>
        </w:rPr>
        <w:t>Программой повышения эффективности управления муниципальными финансами Грачевского муниципального района Ставропольского края на период до 2020 года, утвержденной постановлением администрации Грачевского муниципального района  Ставропольского края от 12 февраля 2015 г. № 95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, </w:t>
      </w:r>
      <w:r w:rsidR="004E3EE4" w:rsidRPr="004F6FA3">
        <w:rPr>
          <w:rFonts w:ascii="Times New Roman" w:hAnsi="Times New Roman" w:cs="Times New Roman"/>
          <w:sz w:val="28"/>
          <w:szCs w:val="28"/>
        </w:rPr>
        <w:t>муниципальной программой Грачевского муниципального района Ставропольского края «Управление финансами Грачевского муниципального района Ставропольского края»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E3EE4" w:rsidRPr="004F6FA3">
        <w:rPr>
          <w:rFonts w:ascii="Times New Roman" w:hAnsi="Times New Roman" w:cs="Times New Roman"/>
          <w:sz w:val="28"/>
          <w:szCs w:val="28"/>
        </w:rPr>
        <w:t>постановлением администрации Грачевского муниципального района Ставропольского края от 30 октября 2013г. № 785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, и направлены на достижение общей цели - обеспечение долгосрочной сбалансированности и устойчивости бюджетной системы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9D0B63" w:rsidRPr="004F6FA3" w:rsidRDefault="00214C3F" w:rsidP="00214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Бюджетная политика Грачевского муниципального района Ставропольского края на долгосрочный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Грачевского муниципального района Ставропольского края.</w:t>
      </w:r>
    </w:p>
    <w:p w:rsidR="00214C3F" w:rsidRDefault="00214C3F" w:rsidP="00214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На долгосрочный период основными  направлениями работы должны стать мероприятия, обеспечивающие бюджетную устойчивость и  общую макроэкономическую стабильность.</w:t>
      </w:r>
    </w:p>
    <w:p w:rsidR="009D0B63" w:rsidRPr="004F6FA3" w:rsidRDefault="00214C3F" w:rsidP="00214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долгосрочная бюджетная политика по формированию доходов бюджета Грачевского </w:t>
      </w:r>
      <w:r w:rsidR="00113319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113319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 основана на следующих подходах:</w:t>
      </w:r>
    </w:p>
    <w:p w:rsidR="009D0B63" w:rsidRPr="004F6FA3" w:rsidRDefault="00FE469E" w:rsidP="004F6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порядочивание системы налоговых льгот</w:t>
      </w:r>
      <w:r w:rsidR="00113319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их адресности и строгая координация с целями и задачами соответствующих муниципальных программ Грачевского муниципального района Ставропольского края;</w:t>
      </w:r>
    </w:p>
    <w:p w:rsidR="009D0B63" w:rsidRPr="004F6FA3" w:rsidRDefault="00FE469E" w:rsidP="004F6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налоговой нагрузки на имущество, в том числе за счет отмены налоговых льгот;</w:t>
      </w:r>
    </w:p>
    <w:p w:rsidR="009D0B63" w:rsidRPr="004F6FA3" w:rsidRDefault="00FE469E" w:rsidP="004F6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сокращения возможностей уклонения от уплаты налогов, совершенствования порядка урегулирования задолженности по налогам;</w:t>
      </w:r>
    </w:p>
    <w:p w:rsidR="009D0B63" w:rsidRPr="004F6FA3" w:rsidRDefault="00FE469E" w:rsidP="004F6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эффективности использования муниципального имущества.</w:t>
      </w:r>
    </w:p>
    <w:p w:rsidR="009D0B63" w:rsidRPr="004F6FA3" w:rsidRDefault="009D0B63" w:rsidP="004F6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E469E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и реализации  бюджетной политики на долгосрочный период необходимо исходить из решения следующих основных задач:</w:t>
      </w:r>
    </w:p>
    <w:p w:rsidR="009D0B63" w:rsidRPr="004F6FA3" w:rsidRDefault="00FE469E" w:rsidP="004F6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-р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еализация эффективности бюджетной политики, направленной на долгосрочную устойчивость и сбалансированность местного бюджета и бюджетов поселений, укрепление их доходной базы, формирование оптимальной структуры расходов бюджетов, ориентированной на содействие социальному и экономическому развитию района;</w:t>
      </w:r>
    </w:p>
    <w:p w:rsidR="009D0B63" w:rsidRPr="004F6FA3" w:rsidRDefault="00FE469E" w:rsidP="004F6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-п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эффективности бюджетных расходов, формирование бюджетных параметров исходя из четкой при</w:t>
      </w: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13319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0B63" w:rsidRPr="004F6FA3">
        <w:rPr>
          <w:rFonts w:ascii="Times New Roman" w:eastAsia="Calibri" w:hAnsi="Times New Roman" w:cs="Times New Roman"/>
          <w:sz w:val="28"/>
          <w:szCs w:val="28"/>
          <w:lang w:eastAsia="ru-RU"/>
        </w:rPr>
        <w:t>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9D0B63" w:rsidRPr="004F6FA3" w:rsidRDefault="00214C3F" w:rsidP="00214C3F">
      <w:pPr>
        <w:widowControl w:val="0"/>
        <w:tabs>
          <w:tab w:val="left" w:pos="1701"/>
        </w:tabs>
        <w:spacing w:after="0" w:line="322" w:lineRule="exact"/>
        <w:ind w:left="20" w:right="4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При исполнении районного бюджета и бюджетов поселений необходимо обеспечить максимальную экономию бюджетных средств за сче</w:t>
      </w:r>
      <w:r w:rsidR="00113319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т их рационального использования,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осуществление мероприятий, направленных на повышение эффективности </w:t>
      </w:r>
      <w:r w:rsidR="00113319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муниципальной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социально-экономической политики.</w:t>
      </w:r>
    </w:p>
    <w:p w:rsidR="009D0B63" w:rsidRPr="004F6FA3" w:rsidRDefault="00214C3F" w:rsidP="00214C3F">
      <w:pPr>
        <w:widowControl w:val="0"/>
        <w:tabs>
          <w:tab w:val="left" w:pos="1701"/>
        </w:tabs>
        <w:spacing w:after="0" w:line="322" w:lineRule="exact"/>
        <w:ind w:left="20" w:right="4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Направления и мероприятия социально-экономической политики, реализуемые в рамках муниципальных программ Грачевского муниципального района </w:t>
      </w:r>
      <w:r w:rsidR="00113319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Ставропольского края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(далее –муниципальные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консолидированного бюджета Грачевского муниципального района</w:t>
      </w:r>
      <w:r w:rsidR="00113319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Ставропольского края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в долгосрочном периоде. Это потребует применения системного механизма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lastRenderedPageBreak/>
        <w:t>приведения объемов финансового обеспечения муниципальных программ на весь период их действия к реальным возможностям консолидированного бюджета с учетом финансового положения бюджета в целом.</w:t>
      </w:r>
    </w:p>
    <w:p w:rsidR="009D0B63" w:rsidRPr="004F6FA3" w:rsidRDefault="00113319" w:rsidP="004F6FA3">
      <w:pPr>
        <w:widowControl w:val="0"/>
        <w:tabs>
          <w:tab w:val="left" w:pos="1701"/>
        </w:tabs>
        <w:spacing w:after="0" w:line="322" w:lineRule="exact"/>
        <w:ind w:right="4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9D0B63" w:rsidRPr="004F6FA3" w:rsidRDefault="00113319" w:rsidP="004F6FA3">
      <w:pPr>
        <w:widowControl w:val="0"/>
        <w:tabs>
          <w:tab w:val="left" w:pos="1701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В условиях экономической нестабильности наиболее негативными последствиями и рисками для бюджетной системы Грачевского муниципального района </w:t>
      </w:r>
      <w:r w:rsidR="00366936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Ставропольского края </w:t>
      </w:r>
      <w:r w:rsidR="009D0B63" w:rsidRPr="004F6FA3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являются:</w:t>
      </w:r>
    </w:p>
    <w:p w:rsidR="009D0B63" w:rsidRPr="004F6FA3" w:rsidRDefault="00113319" w:rsidP="004F6FA3">
      <w:pPr>
        <w:widowControl w:val="0"/>
        <w:tabs>
          <w:tab w:val="left" w:pos="1701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-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превышение прогнозируемого уровня инфляции;</w:t>
      </w:r>
    </w:p>
    <w:p w:rsidR="009D0B63" w:rsidRPr="004F6FA3" w:rsidRDefault="00113319" w:rsidP="004F6FA3">
      <w:pPr>
        <w:widowControl w:val="0"/>
        <w:tabs>
          <w:tab w:val="left" w:pos="1701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- 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сокращение межбюджетных трансфертов из краевого бюджета;</w:t>
      </w:r>
    </w:p>
    <w:p w:rsidR="009D0B63" w:rsidRPr="004F6FA3" w:rsidRDefault="00113319" w:rsidP="004F6FA3">
      <w:pPr>
        <w:widowControl w:val="0"/>
        <w:tabs>
          <w:tab w:val="left" w:pos="1701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F6FA3">
        <w:rPr>
          <w:rFonts w:ascii="Times New Roman" w:eastAsia="Times New Roman" w:hAnsi="Times New Roman" w:cs="Times New Roman"/>
          <w:color w:val="C0504D"/>
          <w:spacing w:val="4"/>
          <w:sz w:val="28"/>
          <w:szCs w:val="28"/>
          <w:lang w:eastAsia="ru-RU"/>
        </w:rPr>
        <w:t xml:space="preserve">    </w:t>
      </w:r>
      <w:r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принятие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дополнительных расходных обязательств.</w:t>
      </w:r>
    </w:p>
    <w:p w:rsidR="009D0B63" w:rsidRPr="004F6FA3" w:rsidRDefault="00214C3F" w:rsidP="00214C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долгосрочном периоде необходимо продолжать работу по повышению качества управления муниципальными финансами Грачевского муниципального района </w:t>
      </w:r>
      <w:r w:rsidR="00113319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Ставропольского края </w:t>
      </w:r>
      <w:r w:rsidR="009D0B63" w:rsidRPr="004F6F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эффективности использования бюджетных средств.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Исходя из необходимости решения перечисленных задач осуществлен </w:t>
      </w:r>
      <w:hyperlink w:anchor="P222" w:history="1">
        <w:r w:rsidR="00FF3D17" w:rsidRPr="00334B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="00FF3D17" w:rsidRPr="0033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Ставропольского края и бюджета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период, представленный в приложении к бюджетному прогнозу.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При определении основных характеристик консолидированного бюджета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и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 общий объем доходов в долгосрочной перспективе определен исходя из прогноза темпа роста налоговых и неналоговых доходов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бюджета, соответствующего темпу роста индекса потребительских цен с учетом прогнозируемого снижения объемов безвозмездных поступлений из </w:t>
      </w:r>
      <w:r w:rsidR="004E3EE4" w:rsidRPr="004F6FA3">
        <w:rPr>
          <w:rFonts w:ascii="Times New Roman" w:hAnsi="Times New Roman" w:cs="Times New Roman"/>
          <w:sz w:val="28"/>
          <w:szCs w:val="28"/>
        </w:rPr>
        <w:t>краевого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 пропорционального увеличению налогового потенциала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бюджета, объем </w:t>
      </w:r>
      <w:r w:rsidR="004E3EE4" w:rsidRPr="004F6FA3">
        <w:rPr>
          <w:rFonts w:ascii="Times New Roman" w:hAnsi="Times New Roman" w:cs="Times New Roman"/>
          <w:sz w:val="28"/>
          <w:szCs w:val="28"/>
        </w:rPr>
        <w:t>муниципального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долга и объем дефицита (профицита)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 определены исходя из прогнозируемого общего объема доходов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Объемы расходов </w:t>
      </w:r>
      <w:r w:rsidR="004E3EE4" w:rsidRPr="004F6FA3">
        <w:rPr>
          <w:rFonts w:ascii="Times New Roman" w:hAnsi="Times New Roman" w:cs="Times New Roman"/>
          <w:sz w:val="28"/>
          <w:szCs w:val="28"/>
        </w:rPr>
        <w:t>районного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бюджета на предоставление финансовой помощи местным бюджетам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в долгосрочной перспективе определены с учетом необходимости увеличения уровня бюджетной обеспеченности муниципальных образований 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края. Указанные расходы в долгосрочной персп</w:t>
      </w:r>
      <w:r w:rsidR="00227D8D">
        <w:rPr>
          <w:rFonts w:ascii="Times New Roman" w:hAnsi="Times New Roman" w:cs="Times New Roman"/>
          <w:sz w:val="28"/>
          <w:szCs w:val="28"/>
        </w:rPr>
        <w:t>ективе определены на уровне 2020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года, несмотря на прогнозируемое увеличение собственных доходов местных бюджетов</w:t>
      </w:r>
      <w:r w:rsidR="004E3EE4" w:rsidRPr="004F6FA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F3D17" w:rsidRPr="004F6FA3">
        <w:rPr>
          <w:rFonts w:ascii="Times New Roman" w:hAnsi="Times New Roman" w:cs="Times New Roman"/>
          <w:sz w:val="28"/>
          <w:szCs w:val="28"/>
        </w:rPr>
        <w:t>.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FA3">
        <w:rPr>
          <w:rFonts w:ascii="Times New Roman" w:hAnsi="Times New Roman" w:cs="Times New Roman"/>
          <w:sz w:val="28"/>
          <w:szCs w:val="28"/>
        </w:rPr>
        <w:t>IV. Риски реализации бюджетного прогноза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>Реализация бюджетного прогноза сопряжена со следующими основными рисками, способными повлиять на достижение прогнозируемых значений показателей бюджетного прогноза: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>1) изменение бюджетного и налогового законодательства Российской Федерации в период реализации бюджетного прогноза;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>2) отсутствие актуализированной стратегии социально-экономического развития</w:t>
      </w:r>
      <w:r w:rsidR="004D0AA5" w:rsidRPr="004F6FA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 Ставропольского края, что не позволяет учесть необходимость достижения ключевых приоритетов и целей социально-экономического развития </w:t>
      </w:r>
      <w:r w:rsidR="004D0AA5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 при формировании бюджетной политики в долгосрочной перспективе;</w:t>
      </w:r>
    </w:p>
    <w:p w:rsidR="00FF3D17" w:rsidRPr="004F6FA3" w:rsidRDefault="00214C3F" w:rsidP="0021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3) отсутствие актуализированного прогноза социально-экономического развития </w:t>
      </w:r>
      <w:r w:rsidR="004D0AA5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 xml:space="preserve">Ставропольского края на долгосрочный период, что не позволяет учитывать прогнозные изменения в экономике в долгосрочном периоде при определении налогового потенциала </w:t>
      </w:r>
      <w:r w:rsidR="004D0AA5" w:rsidRPr="004F6FA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="00FF3D17" w:rsidRPr="004F6FA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D0AA5" w:rsidRPr="004F6FA3">
        <w:rPr>
          <w:rFonts w:ascii="Times New Roman" w:hAnsi="Times New Roman" w:cs="Times New Roman"/>
          <w:sz w:val="28"/>
          <w:szCs w:val="28"/>
        </w:rPr>
        <w:t>.</w:t>
      </w: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17" w:rsidRPr="004F6FA3" w:rsidRDefault="00FF3D17" w:rsidP="004F6FA3">
      <w:pPr>
        <w:rPr>
          <w:rFonts w:ascii="Times New Roman" w:hAnsi="Times New Roman" w:cs="Times New Roman"/>
          <w:sz w:val="28"/>
          <w:szCs w:val="28"/>
        </w:rPr>
        <w:sectPr w:rsidR="00FF3D17" w:rsidRPr="004F6FA3" w:rsidSect="00FF3D1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9C8" w:rsidRPr="00757ED0" w:rsidRDefault="00AA69C8" w:rsidP="00757ED0">
      <w:pPr>
        <w:spacing w:after="0" w:line="240" w:lineRule="auto"/>
        <w:ind w:left="10632" w:right="-5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E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A69C8" w:rsidRPr="00757ED0" w:rsidRDefault="00AA69C8" w:rsidP="00757ED0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</w:p>
    <w:p w:rsidR="00AA69C8" w:rsidRPr="00757ED0" w:rsidRDefault="00AA69C8" w:rsidP="00757ED0">
      <w:pPr>
        <w:spacing w:after="0" w:line="240" w:lineRule="exact"/>
        <w:ind w:left="10631" w:right="-31"/>
        <w:rPr>
          <w:rFonts w:ascii="Times New Roman" w:eastAsia="Times New Roman" w:hAnsi="Times New Roman" w:cs="Times New Roman"/>
          <w:sz w:val="28"/>
          <w:szCs w:val="28"/>
        </w:rPr>
      </w:pPr>
      <w:r w:rsidRPr="00757ED0">
        <w:rPr>
          <w:rFonts w:ascii="Times New Roman" w:eastAsia="Times New Roman" w:hAnsi="Times New Roman" w:cs="Times New Roman"/>
          <w:sz w:val="28"/>
          <w:szCs w:val="28"/>
        </w:rPr>
        <w:t>к бюджетному прогнозу Грачевского      муниципального района Ставропольского края на период до 202</w:t>
      </w:r>
      <w:r w:rsidR="00BE0F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7E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A69C8" w:rsidRPr="00757ED0" w:rsidRDefault="00AA69C8" w:rsidP="0075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9C8" w:rsidRPr="00757ED0" w:rsidRDefault="00AA69C8" w:rsidP="00757ED0">
      <w:pPr>
        <w:widowControl w:val="0"/>
        <w:autoSpaceDE w:val="0"/>
        <w:autoSpaceDN w:val="0"/>
        <w:adjustRightInd w:val="0"/>
        <w:spacing w:after="0" w:line="240" w:lineRule="exact"/>
        <w:ind w:right="-5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64"/>
      <w:bookmarkEnd w:id="3"/>
      <w:r w:rsidRPr="00757ED0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AA69C8" w:rsidRPr="00757ED0" w:rsidRDefault="00AA69C8" w:rsidP="00757ED0">
      <w:pPr>
        <w:widowControl w:val="0"/>
        <w:autoSpaceDE w:val="0"/>
        <w:autoSpaceDN w:val="0"/>
        <w:adjustRightInd w:val="0"/>
        <w:spacing w:after="0" w:line="240" w:lineRule="exact"/>
        <w:ind w:right="-5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ED0">
        <w:rPr>
          <w:rFonts w:ascii="Times New Roman" w:eastAsia="Times New Roman" w:hAnsi="Times New Roman" w:cs="Times New Roman"/>
          <w:sz w:val="28"/>
          <w:szCs w:val="28"/>
        </w:rPr>
        <w:t>основных характеристик консолидированного бюджета Грачевского муниципального района Ставропольского края                                                    и местного бюджета на долгосрочный период</w:t>
      </w:r>
    </w:p>
    <w:p w:rsidR="00AA69C8" w:rsidRPr="00757ED0" w:rsidRDefault="00AA69C8" w:rsidP="00757ED0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9C8" w:rsidRPr="00757ED0" w:rsidRDefault="00DC2480" w:rsidP="00DF433B">
      <w:pPr>
        <w:widowControl w:val="0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69C8" w:rsidRPr="00757ED0">
        <w:rPr>
          <w:rFonts w:ascii="Times New Roman" w:eastAsia="Times New Roman" w:hAnsi="Times New Roman" w:cs="Times New Roman"/>
          <w:sz w:val="28"/>
          <w:szCs w:val="28"/>
        </w:rPr>
        <w:t>млн. рублей</w:t>
      </w:r>
    </w:p>
    <w:tbl>
      <w:tblPr>
        <w:tblW w:w="4311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559"/>
        <w:gridCol w:w="1416"/>
        <w:gridCol w:w="1419"/>
        <w:gridCol w:w="1424"/>
        <w:gridCol w:w="1556"/>
        <w:gridCol w:w="1414"/>
      </w:tblGrid>
      <w:tr w:rsidR="00227D8D" w:rsidRPr="00757ED0" w:rsidTr="00E3107F">
        <w:trPr>
          <w:trHeight w:val="1599"/>
          <w:tblCellSpacing w:w="5" w:type="nil"/>
        </w:trPr>
        <w:tc>
          <w:tcPr>
            <w:tcW w:w="1538" w:type="pct"/>
            <w:vAlign w:val="center"/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14" w:type="pct"/>
            <w:vAlign w:val="center"/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58" w:type="pct"/>
            <w:vAlign w:val="center"/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9" w:type="pct"/>
            <w:vAlign w:val="center"/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1" w:type="pct"/>
            <w:vAlign w:val="center"/>
          </w:tcPr>
          <w:p w:rsidR="00227D8D" w:rsidRPr="00757ED0" w:rsidRDefault="00227D8D" w:rsidP="0022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3" w:type="pct"/>
            <w:vAlign w:val="center"/>
          </w:tcPr>
          <w:p w:rsidR="00227D8D" w:rsidRPr="00757ED0" w:rsidRDefault="00227D8D" w:rsidP="0022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" w:type="pct"/>
            <w:vAlign w:val="center"/>
          </w:tcPr>
          <w:p w:rsidR="00227D8D" w:rsidRPr="00757ED0" w:rsidRDefault="00227D8D" w:rsidP="0022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A69C8" w:rsidRPr="00757ED0" w:rsidRDefault="00AA69C8" w:rsidP="00757ED0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431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6"/>
        <w:gridCol w:w="1559"/>
        <w:gridCol w:w="1414"/>
        <w:gridCol w:w="1419"/>
        <w:gridCol w:w="1419"/>
        <w:gridCol w:w="1561"/>
        <w:gridCol w:w="1414"/>
      </w:tblGrid>
      <w:tr w:rsidR="00E3107F" w:rsidRPr="00757ED0" w:rsidTr="00E3107F">
        <w:trPr>
          <w:trHeight w:val="368"/>
          <w:tblHeader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ar176"/>
            <w:bookmarkEnd w:id="4"/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  <w:p w:rsidR="00227D8D" w:rsidRPr="00757ED0" w:rsidRDefault="00227D8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8D" w:rsidRPr="00757ED0" w:rsidRDefault="00525E14" w:rsidP="000E3D1D">
            <w:pPr>
              <w:spacing w:after="240" w:line="276" w:lineRule="auto"/>
              <w:ind w:left="-204" w:firstLine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829,81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8D" w:rsidRPr="00E9511E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860,21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8D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8D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867,96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8D" w:rsidRPr="004C4E2B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868,83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8D" w:rsidRPr="00757ED0" w:rsidRDefault="009572D8" w:rsidP="000E3D1D">
            <w:pPr>
              <w:spacing w:after="240" w:line="276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869,70</w:t>
            </w:r>
          </w:p>
        </w:tc>
      </w:tr>
      <w:tr w:rsidR="00E3107F" w:rsidRPr="00757ED0" w:rsidTr="00B4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525E14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829,81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E9511E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860,21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867,96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868,83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9572D8" w:rsidP="000E3D1D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869,70</w:t>
            </w:r>
          </w:p>
        </w:tc>
      </w:tr>
      <w:tr w:rsidR="00E3107F" w:rsidRPr="00757ED0" w:rsidTr="00010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0101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0E3D1D" w:rsidP="00AC6C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E9511E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D1D" w:rsidRPr="00757ED0" w:rsidRDefault="000E3D1D" w:rsidP="000101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E3D1D" w:rsidRPr="00757ED0" w:rsidTr="00D64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1D" w:rsidRPr="00757ED0" w:rsidRDefault="000E3D1D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F6B" w:rsidRDefault="00D64F6B" w:rsidP="00AC6C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D1D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D1D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D1D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D1D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D1D" w:rsidRDefault="000E3D1D" w:rsidP="00757E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F6B" w:rsidRPr="00757ED0" w:rsidTr="00BE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6B" w:rsidRDefault="00D64F6B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r184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Бюджет Грачевского муниципального района Ставропольского края</w:t>
            </w:r>
          </w:p>
          <w:p w:rsidR="00F800AB" w:rsidRDefault="00F800AB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F6B" w:rsidRPr="004C4E2B" w:rsidRDefault="00D64F6B" w:rsidP="000101AE">
            <w:pPr>
              <w:tabs>
                <w:tab w:val="left" w:pos="794"/>
              </w:tabs>
              <w:spacing w:after="0" w:line="240" w:lineRule="exact"/>
              <w:ind w:left="-1763" w:right="68" w:firstLine="176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D64F6B" w:rsidRPr="00757ED0" w:rsidTr="00BE0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B" w:rsidRPr="00757ED0" w:rsidRDefault="00D64F6B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B" w:rsidRPr="00757ED0" w:rsidRDefault="00D64F6B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714,26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B" w:rsidRPr="00AA026F" w:rsidRDefault="00D64F6B" w:rsidP="00690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69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9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B" w:rsidRPr="00AA026F" w:rsidRDefault="00D64F6B" w:rsidP="006900BF">
            <w:pPr>
              <w:spacing w:after="0" w:line="276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900BF">
              <w:rPr>
                <w:rFonts w:ascii="Times New Roman" w:eastAsia="Times New Roman" w:hAnsi="Times New Roman" w:cs="Times New Roman"/>
                <w:sz w:val="28"/>
                <w:szCs w:val="28"/>
              </w:rPr>
              <w:t>46,93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B" w:rsidRPr="009359D8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730,36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B" w:rsidRPr="009359D8" w:rsidRDefault="00B41D2C" w:rsidP="000101AE">
            <w:pPr>
              <w:spacing w:after="0" w:line="276" w:lineRule="auto"/>
              <w:ind w:left="-1765" w:firstLine="17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731,09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B" w:rsidRPr="009359D8" w:rsidRDefault="001A513C" w:rsidP="000101AE">
            <w:pPr>
              <w:tabs>
                <w:tab w:val="left" w:pos="794"/>
              </w:tabs>
              <w:spacing w:after="0" w:line="276" w:lineRule="auto"/>
              <w:ind w:left="-1765" w:right="67" w:firstLine="17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731,82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422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Налоговые и неналоговые доходы, всего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D64F6B" w:rsidP="000101AE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197,22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6900BF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9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6900BF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0B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00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129,60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129,73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1A513C" w:rsidP="000101AE">
            <w:pPr>
              <w:spacing w:after="6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129,86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D64F6B" w:rsidP="000101AE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155,47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6900BF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0B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00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6900BF" w:rsidP="006900BF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D64F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64F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85,72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85,81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1A513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85,90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D64F6B" w:rsidP="000101AE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0101AE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  <w:r w:rsidR="00B41D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1A513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7F" w:rsidRPr="00757ED0" w:rsidRDefault="00D64F6B" w:rsidP="000101AE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0101AE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AA026F" w:rsidRDefault="00D64F6B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B41D2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7F" w:rsidRPr="009359D8" w:rsidRDefault="001A513C" w:rsidP="000101AE">
            <w:pPr>
              <w:spacing w:after="3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11,21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поступления, всего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517,04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571,02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B41D2C" w:rsidP="000101AE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600,76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B41D2C" w:rsidP="000101AE">
            <w:pPr>
              <w:spacing w:before="360" w:after="0" w:line="276" w:lineRule="auto"/>
              <w:ind w:right="-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601,36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1A513C" w:rsidP="000101AE">
            <w:pPr>
              <w:spacing w:before="360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601,96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бюджетной обеспеченности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107,47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136,61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136,75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136,89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9359D8" w:rsidRDefault="001A513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9D8">
              <w:rPr>
                <w:rFonts w:ascii="Times New Roman" w:eastAsia="Times New Roman" w:hAnsi="Times New Roman" w:cs="Times New Roman"/>
                <w:sz w:val="28"/>
                <w:szCs w:val="28"/>
              </w:rPr>
              <w:t>137,03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Расходы, всего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714,26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734,43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729,63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730,36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731,09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1A513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731,82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317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76,33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107,47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136,61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136,75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136,89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1A513C" w:rsidP="00010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137,03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1502"/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7F" w:rsidRPr="00757ED0" w:rsidRDefault="00E3107F" w:rsidP="0057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субсидии на формирование районных фондов финансовой поддержки поселений и обеспечение сбалансированности бюджетов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54,19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56,40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56,40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56,46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AA026F" w:rsidRDefault="00B41D2C" w:rsidP="00010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56,52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1A513C" w:rsidRDefault="001A513C" w:rsidP="0001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C">
              <w:rPr>
                <w:rFonts w:ascii="Times New Roman" w:hAnsi="Times New Roman" w:cs="Times New Roman"/>
                <w:sz w:val="28"/>
                <w:szCs w:val="28"/>
              </w:rPr>
              <w:t>56,58</w:t>
            </w:r>
          </w:p>
        </w:tc>
      </w:tr>
      <w:tr w:rsidR="00E3107F" w:rsidRPr="00757ED0" w:rsidTr="00E31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blCellSpacing w:w="5" w:type="nil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E3107F" w:rsidP="0075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E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Дефицит/ профицит</w:t>
            </w:r>
            <w:r w:rsidRPr="00757ED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D64F6B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7F" w:rsidRPr="00D022B6" w:rsidRDefault="00B41D2C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B41D2C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B41D2C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B41D2C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Pr="00757ED0" w:rsidRDefault="000101AE" w:rsidP="000101AE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E6C59" w:rsidRDefault="001E6C59" w:rsidP="00AA69C8">
      <w:pPr>
        <w:pStyle w:val="ConsPlusNormal"/>
        <w:jc w:val="right"/>
        <w:outlineLvl w:val="1"/>
      </w:pPr>
    </w:p>
    <w:sectPr w:rsidR="001E6C59" w:rsidSect="00FF3D1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9B" w:rsidRDefault="00EA079B">
      <w:pPr>
        <w:spacing w:after="0" w:line="240" w:lineRule="auto"/>
      </w:pPr>
      <w:r>
        <w:separator/>
      </w:r>
    </w:p>
  </w:endnote>
  <w:endnote w:type="continuationSeparator" w:id="0">
    <w:p w:rsidR="00EA079B" w:rsidRDefault="00E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9B" w:rsidRDefault="00EA079B">
      <w:pPr>
        <w:spacing w:after="0" w:line="240" w:lineRule="auto"/>
      </w:pPr>
      <w:r>
        <w:separator/>
      </w:r>
    </w:p>
  </w:footnote>
  <w:footnote w:type="continuationSeparator" w:id="0">
    <w:p w:rsidR="00EA079B" w:rsidRDefault="00EA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7C" w:rsidRDefault="0008207C" w:rsidP="007444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07C" w:rsidRDefault="0008207C" w:rsidP="0074441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7C" w:rsidRPr="00822607" w:rsidRDefault="0008207C" w:rsidP="0074441D">
    <w:pPr>
      <w:pStyle w:val="a5"/>
      <w:framePr w:wrap="around" w:vAnchor="text" w:hAnchor="margin" w:xAlign="right" w:y="1"/>
      <w:rPr>
        <w:rStyle w:val="a7"/>
        <w:rFonts w:ascii="Times New Roman" w:hAnsi="Times New Roman"/>
        <w:sz w:val="28"/>
        <w:szCs w:val="28"/>
      </w:rPr>
    </w:pPr>
    <w:r w:rsidRPr="00822607">
      <w:rPr>
        <w:rStyle w:val="a7"/>
        <w:rFonts w:ascii="Times New Roman" w:hAnsi="Times New Roman"/>
        <w:sz w:val="28"/>
        <w:szCs w:val="28"/>
      </w:rPr>
      <w:fldChar w:fldCharType="begin"/>
    </w:r>
    <w:r w:rsidRPr="00822607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822607">
      <w:rPr>
        <w:rStyle w:val="a7"/>
        <w:rFonts w:ascii="Times New Roman" w:hAnsi="Times New Roman"/>
        <w:sz w:val="28"/>
        <w:szCs w:val="28"/>
      </w:rPr>
      <w:fldChar w:fldCharType="separate"/>
    </w:r>
    <w:r w:rsidR="00367D78">
      <w:rPr>
        <w:rStyle w:val="a7"/>
        <w:rFonts w:ascii="Times New Roman" w:hAnsi="Times New Roman"/>
        <w:noProof/>
        <w:sz w:val="28"/>
        <w:szCs w:val="28"/>
      </w:rPr>
      <w:t>1</w:t>
    </w:r>
    <w:r w:rsidRPr="00822607">
      <w:rPr>
        <w:rStyle w:val="a7"/>
        <w:rFonts w:ascii="Times New Roman" w:hAnsi="Times New Roman"/>
        <w:sz w:val="28"/>
        <w:szCs w:val="28"/>
      </w:rPr>
      <w:fldChar w:fldCharType="end"/>
    </w:r>
  </w:p>
  <w:p w:rsidR="0008207C" w:rsidRPr="004D4389" w:rsidRDefault="0008207C" w:rsidP="0074441D">
    <w:pPr>
      <w:pStyle w:val="a5"/>
      <w:ind w:right="360"/>
      <w:jc w:val="center"/>
      <w:rPr>
        <w:rFonts w:ascii="Times New Roman" w:hAnsi="Times New Roman"/>
        <w:sz w:val="28"/>
        <w:szCs w:val="28"/>
      </w:rPr>
    </w:pPr>
  </w:p>
  <w:p w:rsidR="0008207C" w:rsidRDefault="000820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56C8"/>
    <w:multiLevelType w:val="multilevel"/>
    <w:tmpl w:val="F2180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34AD1"/>
    <w:multiLevelType w:val="hybridMultilevel"/>
    <w:tmpl w:val="F6CCB6AA"/>
    <w:lvl w:ilvl="0" w:tplc="23F6E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830939"/>
    <w:multiLevelType w:val="multilevel"/>
    <w:tmpl w:val="FF66A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7"/>
    <w:rsid w:val="000101AE"/>
    <w:rsid w:val="00052323"/>
    <w:rsid w:val="0008207C"/>
    <w:rsid w:val="000D3AC1"/>
    <w:rsid w:val="000E3D1D"/>
    <w:rsid w:val="00113319"/>
    <w:rsid w:val="001165FC"/>
    <w:rsid w:val="001822A0"/>
    <w:rsid w:val="00190E31"/>
    <w:rsid w:val="001A513C"/>
    <w:rsid w:val="001E6C59"/>
    <w:rsid w:val="00212CF5"/>
    <w:rsid w:val="00214C3F"/>
    <w:rsid w:val="00227D8D"/>
    <w:rsid w:val="002472F6"/>
    <w:rsid w:val="00257AFC"/>
    <w:rsid w:val="002606EA"/>
    <w:rsid w:val="00334B5A"/>
    <w:rsid w:val="00366884"/>
    <w:rsid w:val="00366936"/>
    <w:rsid w:val="00367D78"/>
    <w:rsid w:val="00380F3A"/>
    <w:rsid w:val="003C3718"/>
    <w:rsid w:val="004772E0"/>
    <w:rsid w:val="004C1007"/>
    <w:rsid w:val="004C4E2B"/>
    <w:rsid w:val="004D0AA5"/>
    <w:rsid w:val="004D6702"/>
    <w:rsid w:val="004E10F3"/>
    <w:rsid w:val="004E3EE4"/>
    <w:rsid w:val="004E776D"/>
    <w:rsid w:val="004F6FA3"/>
    <w:rsid w:val="00501217"/>
    <w:rsid w:val="005179D8"/>
    <w:rsid w:val="00525E14"/>
    <w:rsid w:val="005724D5"/>
    <w:rsid w:val="00585F02"/>
    <w:rsid w:val="0059351E"/>
    <w:rsid w:val="00661227"/>
    <w:rsid w:val="00664809"/>
    <w:rsid w:val="0068721B"/>
    <w:rsid w:val="006900BF"/>
    <w:rsid w:val="00717232"/>
    <w:rsid w:val="00736784"/>
    <w:rsid w:val="0074441D"/>
    <w:rsid w:val="00757ED0"/>
    <w:rsid w:val="007F21B6"/>
    <w:rsid w:val="00855997"/>
    <w:rsid w:val="008B2A32"/>
    <w:rsid w:val="008D53DE"/>
    <w:rsid w:val="009359D8"/>
    <w:rsid w:val="00956B6E"/>
    <w:rsid w:val="009572D8"/>
    <w:rsid w:val="00986B40"/>
    <w:rsid w:val="009A6D86"/>
    <w:rsid w:val="009C0664"/>
    <w:rsid w:val="009C2CC2"/>
    <w:rsid w:val="009D0B63"/>
    <w:rsid w:val="009E181F"/>
    <w:rsid w:val="009F7781"/>
    <w:rsid w:val="00A21D32"/>
    <w:rsid w:val="00A922FE"/>
    <w:rsid w:val="00AA026F"/>
    <w:rsid w:val="00AA69C8"/>
    <w:rsid w:val="00AC6C9C"/>
    <w:rsid w:val="00B10DB9"/>
    <w:rsid w:val="00B30D6E"/>
    <w:rsid w:val="00B41D2C"/>
    <w:rsid w:val="00B43269"/>
    <w:rsid w:val="00B641A0"/>
    <w:rsid w:val="00B9508E"/>
    <w:rsid w:val="00BB45FF"/>
    <w:rsid w:val="00BE0F12"/>
    <w:rsid w:val="00BF2559"/>
    <w:rsid w:val="00C05E72"/>
    <w:rsid w:val="00C07AE9"/>
    <w:rsid w:val="00C45A34"/>
    <w:rsid w:val="00C62B60"/>
    <w:rsid w:val="00C801DD"/>
    <w:rsid w:val="00CE274D"/>
    <w:rsid w:val="00D022B6"/>
    <w:rsid w:val="00D64F6B"/>
    <w:rsid w:val="00D85C0E"/>
    <w:rsid w:val="00DB6AE9"/>
    <w:rsid w:val="00DC2480"/>
    <w:rsid w:val="00DE1DA4"/>
    <w:rsid w:val="00DF433B"/>
    <w:rsid w:val="00E16255"/>
    <w:rsid w:val="00E300ED"/>
    <w:rsid w:val="00E3107F"/>
    <w:rsid w:val="00E3280A"/>
    <w:rsid w:val="00E706E7"/>
    <w:rsid w:val="00E9511E"/>
    <w:rsid w:val="00EA079B"/>
    <w:rsid w:val="00EB09CD"/>
    <w:rsid w:val="00EB57E6"/>
    <w:rsid w:val="00F17CE2"/>
    <w:rsid w:val="00F44A38"/>
    <w:rsid w:val="00F518EF"/>
    <w:rsid w:val="00F53F27"/>
    <w:rsid w:val="00F800AB"/>
    <w:rsid w:val="00FE469E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192F-73A2-40CA-AC1C-F70B6B6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B63"/>
  </w:style>
  <w:style w:type="character" w:styleId="a7">
    <w:name w:val="page number"/>
    <w:rsid w:val="009D0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5171F8933F3F02C4328D0C41AD39AF856D6A673F5629A903A3A9C2028F860B0912642CB41BB81A96762E2Z3f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5171F8933F3F02C4336DDD2768D90FD5D88A275F36AC5C4683CCB7F78FE35F0D120158007ZBf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5171F8933F3F02C4328D0C41AD39AF856D6A673F560949A3C3A9C2028F860B0912642CB41BB81A9676AE1Z3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Grgog</dc:creator>
  <cp:keywords/>
  <dc:description/>
  <cp:lastModifiedBy>Grpavv</cp:lastModifiedBy>
  <cp:revision>65</cp:revision>
  <cp:lastPrinted>2017-11-14T13:20:00Z</cp:lastPrinted>
  <dcterms:created xsi:type="dcterms:W3CDTF">2016-11-04T13:31:00Z</dcterms:created>
  <dcterms:modified xsi:type="dcterms:W3CDTF">2017-11-14T13:21:00Z</dcterms:modified>
</cp:coreProperties>
</file>